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A619D4">
      <w:pPr>
        <w:keepNext w:val="0"/>
        <w:keepLines w:val="0"/>
        <w:pageBreakBefore w:val="0"/>
        <w:widowControl w:val="0"/>
        <w:kinsoku/>
        <w:wordWrap/>
        <w:overflowPunct/>
        <w:topLinePunct w:val="0"/>
        <w:autoSpaceDE/>
        <w:autoSpaceDN/>
        <w:bidi w:val="0"/>
        <w:spacing w:line="600" w:lineRule="exact"/>
        <w:rPr>
          <w:rFonts w:hint="default" w:ascii="Times New Roman" w:hAnsi="Times New Roman" w:cs="Times New Roman"/>
          <w:color w:val="000000" w:themeColor="text1"/>
          <w:szCs w:val="32"/>
          <w14:textFill>
            <w14:solidFill>
              <w14:schemeClr w14:val="tx1"/>
            </w14:solidFill>
          </w14:textFill>
        </w:rPr>
      </w:pPr>
      <w:bookmarkStart w:id="0" w:name="_Toc19767"/>
      <w:bookmarkStart w:id="1" w:name="_Toc150"/>
    </w:p>
    <w:p w14:paraId="5C27C3AA">
      <w:pPr>
        <w:keepNext w:val="0"/>
        <w:keepLines w:val="0"/>
        <w:pageBreakBefore w:val="0"/>
        <w:widowControl w:val="0"/>
        <w:kinsoku/>
        <w:wordWrap/>
        <w:overflowPunct/>
        <w:topLinePunct w:val="0"/>
        <w:autoSpaceDE/>
        <w:autoSpaceDN/>
        <w:bidi w:val="0"/>
        <w:spacing w:line="600" w:lineRule="exact"/>
        <w:rPr>
          <w:rFonts w:hint="default" w:ascii="Times New Roman" w:hAnsi="Times New Roman" w:cs="Times New Roman"/>
          <w:color w:val="000000" w:themeColor="text1"/>
          <w:szCs w:val="32"/>
          <w14:textFill>
            <w14:solidFill>
              <w14:schemeClr w14:val="tx1"/>
            </w14:solidFill>
          </w14:textFill>
        </w:rPr>
      </w:pPr>
    </w:p>
    <w:p w14:paraId="1CB78582">
      <w:pPr>
        <w:keepNext w:val="0"/>
        <w:keepLines w:val="0"/>
        <w:pageBreakBefore w:val="0"/>
        <w:widowControl w:val="0"/>
        <w:kinsoku/>
        <w:wordWrap/>
        <w:overflowPunct/>
        <w:topLinePunct w:val="0"/>
        <w:autoSpaceDE/>
        <w:autoSpaceDN/>
        <w:bidi w:val="0"/>
        <w:spacing w:line="640" w:lineRule="exact"/>
        <w:rPr>
          <w:rFonts w:hint="default" w:ascii="Times New Roman" w:hAnsi="Times New Roman" w:cs="Times New Roman"/>
          <w:color w:val="000000" w:themeColor="text1"/>
          <w:szCs w:val="32"/>
          <w14:textFill>
            <w14:solidFill>
              <w14:schemeClr w14:val="tx1"/>
            </w14:solidFill>
          </w14:textFill>
        </w:rPr>
      </w:pPr>
    </w:p>
    <w:p w14:paraId="06AF8D3C">
      <w:pPr>
        <w:keepNext w:val="0"/>
        <w:keepLines w:val="0"/>
        <w:pageBreakBefore w:val="0"/>
        <w:widowControl w:val="0"/>
        <w:kinsoku/>
        <w:wordWrap/>
        <w:overflowPunct/>
        <w:topLinePunct w:val="0"/>
        <w:autoSpaceDE/>
        <w:autoSpaceDN/>
        <w:bidi w:val="0"/>
        <w:spacing w:line="640" w:lineRule="exact"/>
        <w:rPr>
          <w:rFonts w:hint="default" w:ascii="Times New Roman" w:hAnsi="Times New Roman" w:cs="Times New Roman"/>
          <w:color w:val="000000" w:themeColor="text1"/>
          <w:szCs w:val="32"/>
          <w14:textFill>
            <w14:solidFill>
              <w14:schemeClr w14:val="tx1"/>
            </w14:solidFill>
          </w14:textFill>
        </w:rPr>
      </w:pPr>
    </w:p>
    <w:p w14:paraId="24730DA0">
      <w:pPr>
        <w:keepNext w:val="0"/>
        <w:keepLines w:val="0"/>
        <w:pageBreakBefore w:val="0"/>
        <w:widowControl w:val="0"/>
        <w:kinsoku/>
        <w:wordWrap/>
        <w:overflowPunct/>
        <w:topLinePunct w:val="0"/>
        <w:autoSpaceDE/>
        <w:autoSpaceDN/>
        <w:bidi w:val="0"/>
        <w:spacing w:line="700" w:lineRule="exact"/>
        <w:rPr>
          <w:rFonts w:hint="default" w:ascii="Times New Roman" w:hAnsi="Times New Roman" w:cs="Times New Roman"/>
          <w:color w:val="000000" w:themeColor="text1"/>
          <w:szCs w:val="32"/>
          <w14:textFill>
            <w14:solidFill>
              <w14:schemeClr w14:val="tx1"/>
            </w14:solidFill>
          </w14:textFill>
        </w:rPr>
      </w:pPr>
    </w:p>
    <w:p w14:paraId="2AE79304">
      <w:pPr>
        <w:keepNext w:val="0"/>
        <w:keepLines w:val="0"/>
        <w:pageBreakBefore w:val="0"/>
        <w:widowControl w:val="0"/>
        <w:kinsoku/>
        <w:wordWrap/>
        <w:overflowPunct/>
        <w:topLinePunct w:val="0"/>
        <w:autoSpaceDE/>
        <w:autoSpaceDN/>
        <w:bidi w:val="0"/>
        <w:spacing w:line="640" w:lineRule="exact"/>
        <w:rPr>
          <w:rFonts w:hint="default" w:ascii="Times New Roman" w:hAnsi="Times New Roman" w:cs="Times New Roman"/>
          <w:color w:val="000000" w:themeColor="text1"/>
          <w:szCs w:val="32"/>
          <w14:textFill>
            <w14:solidFill>
              <w14:schemeClr w14:val="tx1"/>
            </w14:solidFill>
          </w14:textFill>
        </w:rPr>
      </w:pPr>
      <w:bookmarkStart w:id="366" w:name="_GoBack"/>
      <w:bookmarkEnd w:id="366"/>
    </w:p>
    <w:p w14:paraId="4DEBF867">
      <w:pPr>
        <w:keepNext w:val="0"/>
        <w:keepLines w:val="0"/>
        <w:pageBreakBefore w:val="0"/>
        <w:widowControl w:val="0"/>
        <w:kinsoku/>
        <w:wordWrap/>
        <w:overflowPunct/>
        <w:topLinePunct w:val="0"/>
        <w:autoSpaceDE/>
        <w:autoSpaceDN/>
        <w:bidi w:val="0"/>
        <w:spacing w:line="579" w:lineRule="exact"/>
        <w:ind w:left="0" w:leftChars="0" w:firstLine="0" w:firstLineChars="0"/>
        <w:jc w:val="center"/>
        <w:rPr>
          <w:rFonts w:hint="default" w:ascii="Times New Roman" w:hAnsi="Times New Roman" w:eastAsia="楷体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Cs/>
          <w:color w:val="000000" w:themeColor="text1"/>
          <w:sz w:val="32"/>
          <w:szCs w:val="32"/>
          <w14:textFill>
            <w14:solidFill>
              <w14:schemeClr w14:val="tx1"/>
            </w14:solidFill>
          </w14:textFill>
        </w:rPr>
        <w:t>武环〔202</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5</w:t>
      </w:r>
      <w:r>
        <w:rPr>
          <w:rFonts w:hint="default" w:ascii="Times New Roman" w:hAnsi="Times New Roman" w:eastAsia="仿宋_GB2312" w:cs="Times New Roman"/>
          <w:bCs/>
          <w:color w:val="000000" w:themeColor="text1"/>
          <w:sz w:val="32"/>
          <w:szCs w:val="32"/>
          <w14:textFill>
            <w14:solidFill>
              <w14:schemeClr w14:val="tx1"/>
            </w14:solidFill>
          </w14:textFill>
        </w:rPr>
        <w:t>〕</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122</w:t>
      </w:r>
      <w:r>
        <w:rPr>
          <w:rFonts w:hint="default" w:ascii="Times New Roman" w:hAnsi="Times New Roman" w:eastAsia="仿宋_GB2312" w:cs="Times New Roman"/>
          <w:bCs/>
          <w:color w:val="000000" w:themeColor="text1"/>
          <w:sz w:val="32"/>
          <w:szCs w:val="32"/>
          <w14:textFill>
            <w14:solidFill>
              <w14:schemeClr w14:val="tx1"/>
            </w14:solidFill>
          </w14:textFill>
        </w:rPr>
        <w:t>号</w:t>
      </w:r>
    </w:p>
    <w:p w14:paraId="0C6B6945">
      <w:pPr>
        <w:pStyle w:val="62"/>
        <w:keepNext w:val="0"/>
        <w:keepLines w:val="0"/>
        <w:pageBreakBefore w:val="0"/>
        <w:widowControl w:val="0"/>
        <w:kinsoku/>
        <w:wordWrap/>
        <w:overflowPunct/>
        <w:topLinePunct w:val="0"/>
        <w:autoSpaceDE/>
        <w:autoSpaceDN/>
        <w:bidi w:val="0"/>
        <w:adjustRightInd w:val="0"/>
        <w:spacing w:before="0" w:after="0" w:line="579" w:lineRule="exact"/>
        <w:jc w:val="both"/>
        <w:rPr>
          <w:rFonts w:hint="default" w:ascii="Times New Roman" w:hAnsi="Times New Roman" w:cs="Times New Roman"/>
          <w:bCs/>
        </w:rPr>
      </w:pPr>
    </w:p>
    <w:p w14:paraId="5CEEB7AA">
      <w:pPr>
        <w:pStyle w:val="62"/>
        <w:keepNext w:val="0"/>
        <w:keepLines w:val="0"/>
        <w:pageBreakBefore w:val="0"/>
        <w:widowControl w:val="0"/>
        <w:kinsoku/>
        <w:wordWrap/>
        <w:overflowPunct/>
        <w:topLinePunct w:val="0"/>
        <w:autoSpaceDE/>
        <w:autoSpaceDN/>
        <w:bidi w:val="0"/>
        <w:adjustRightInd w:val="0"/>
        <w:spacing w:before="0" w:after="0" w:line="579" w:lineRule="exact"/>
        <w:jc w:val="both"/>
        <w:rPr>
          <w:rFonts w:hint="default" w:ascii="Times New Roman" w:hAnsi="Times New Roman" w:cs="Times New Roman"/>
          <w:bCs/>
        </w:rPr>
      </w:pPr>
    </w:p>
    <w:p w14:paraId="778A7DEA">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outlineLvl w:val="9"/>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市生态环境局关于印发武汉市生物多样性保护规划（2025-2035年）的通知</w:t>
      </w:r>
    </w:p>
    <w:p w14:paraId="79701813">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both"/>
        <w:textAlignment w:val="auto"/>
        <w:outlineLvl w:val="9"/>
        <w:rPr>
          <w:rFonts w:hint="default" w:ascii="Times New Roman" w:hAnsi="Times New Roman" w:cs="Times New Roman"/>
          <w:sz w:val="32"/>
          <w:szCs w:val="32"/>
          <w:lang w:val="en-US" w:eastAsia="zh-CN"/>
        </w:rPr>
      </w:pPr>
    </w:p>
    <w:p w14:paraId="454988EB">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各区人民政府，市人民政府各部门：</w:t>
      </w:r>
    </w:p>
    <w:p w14:paraId="634CBDB2">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《武汉市生物多样性保护规划（2025-2035年）》已经市人民政府同意，现印发给你们，请认真组织实施。</w:t>
      </w:r>
    </w:p>
    <w:p w14:paraId="01914EBC">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default" w:ascii="Times New Roman" w:hAnsi="Times New Roman" w:eastAsia="仿宋_GB2312" w:cs="Times New Roman"/>
          <w:sz w:val="32"/>
          <w:szCs w:val="32"/>
          <w:lang w:val="en-US" w:eastAsia="zh-CN"/>
        </w:rPr>
      </w:pPr>
    </w:p>
    <w:p w14:paraId="79A99F6F">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default" w:ascii="Times New Roman" w:hAnsi="Times New Roman" w:eastAsia="仿宋_GB2312" w:cs="Times New Roman"/>
          <w:sz w:val="32"/>
          <w:szCs w:val="32"/>
          <w:lang w:val="en-US" w:eastAsia="zh-CN"/>
        </w:rPr>
      </w:pPr>
    </w:p>
    <w:p w14:paraId="1B8316DB">
      <w:pPr>
        <w:keepNext w:val="0"/>
        <w:keepLines w:val="0"/>
        <w:pageBreakBefore w:val="0"/>
        <w:widowControl w:val="0"/>
        <w:kinsoku/>
        <w:wordWrap/>
        <w:overflowPunct/>
        <w:topLinePunct w:val="0"/>
        <w:autoSpaceDE/>
        <w:autoSpaceDN/>
        <w:bidi w:val="0"/>
        <w:adjustRightInd/>
        <w:snapToGrid/>
        <w:spacing w:line="600" w:lineRule="exact"/>
        <w:ind w:left="0" w:leftChars="0" w:firstLine="4480" w:firstLineChars="14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武汉市生态环境局</w:t>
      </w:r>
    </w:p>
    <w:p w14:paraId="2A15122B">
      <w:pPr>
        <w:keepNext w:val="0"/>
        <w:keepLines w:val="0"/>
        <w:pageBreakBefore w:val="0"/>
        <w:widowControl w:val="0"/>
        <w:kinsoku/>
        <w:wordWrap/>
        <w:overflowPunct/>
        <w:topLinePunct w:val="0"/>
        <w:autoSpaceDE/>
        <w:autoSpaceDN/>
        <w:bidi w:val="0"/>
        <w:adjustRightInd/>
        <w:snapToGrid/>
        <w:spacing w:line="600" w:lineRule="exact"/>
        <w:ind w:left="0" w:leftChars="0" w:firstLine="4480" w:firstLineChars="1400"/>
        <w:jc w:val="both"/>
        <w:textAlignment w:val="auto"/>
        <w:outlineLvl w:val="9"/>
        <w:rPr>
          <w:rFonts w:hint="default" w:ascii="Times New Roman" w:hAnsi="Times New Roman" w:eastAsia="仿宋_GB2312" w:cs="Times New Roman"/>
          <w:b/>
          <w:bCs/>
          <w:color w:val="auto"/>
          <w:sz w:val="32"/>
          <w:szCs w:val="32"/>
          <w:lang w:eastAsia="zh-CN"/>
        </w:rPr>
      </w:pPr>
      <w:r>
        <w:rPr>
          <w:rFonts w:hint="default" w:ascii="Times New Roman" w:hAnsi="Times New Roman" w:eastAsia="仿宋_GB2312" w:cs="Times New Roman"/>
          <w:sz w:val="32"/>
          <w:szCs w:val="32"/>
          <w:lang w:val="en-US" w:eastAsia="zh-CN"/>
        </w:rPr>
        <w:t>2025年10月10日</w:t>
      </w:r>
    </w:p>
    <w:p w14:paraId="35C5ED0C">
      <w:pPr>
        <w:rPr>
          <w:rFonts w:hint="default" w:ascii="Times New Roman" w:hAnsi="Times New Roman" w:eastAsia="黑体" w:cs="Times New Roman"/>
          <w:color w:val="auto"/>
          <w:lang w:val="en-US" w:eastAsia="zh-CN"/>
        </w:rPr>
      </w:pPr>
      <w:r>
        <w:rPr>
          <w:rFonts w:hint="default" w:ascii="Times New Roman" w:hAnsi="Times New Roman" w:eastAsia="黑体" w:cs="Times New Roman"/>
          <w:color w:val="auto"/>
          <w:lang w:val="en-US" w:eastAsia="zh-CN"/>
        </w:rPr>
        <w:br w:type="page"/>
      </w:r>
    </w:p>
    <w:p w14:paraId="0E56B41E">
      <w:pPr>
        <w:ind w:left="0" w:leftChars="0" w:firstLine="0" w:firstLineChars="0"/>
        <w:rPr>
          <w:rFonts w:hint="default" w:ascii="Times New Roman" w:hAnsi="Times New Roman" w:eastAsia="黑体" w:cs="Times New Roman"/>
          <w:color w:val="auto"/>
          <w:lang w:val="en-US" w:eastAsia="zh-CN"/>
        </w:rPr>
      </w:pPr>
    </w:p>
    <w:p w14:paraId="5AAF899B">
      <w:pPr>
        <w:ind w:firstLine="960"/>
        <w:rPr>
          <w:rFonts w:hint="default" w:ascii="Times New Roman" w:hAnsi="Times New Roman" w:eastAsia="华文中宋" w:cs="Times New Roman"/>
          <w:color w:val="auto"/>
          <w:sz w:val="48"/>
          <w:szCs w:val="48"/>
        </w:rPr>
      </w:pPr>
    </w:p>
    <w:p w14:paraId="00A038E7">
      <w:pPr>
        <w:keepNext w:val="0"/>
        <w:keepLines w:val="0"/>
        <w:pageBreakBefore w:val="0"/>
        <w:widowControl w:val="0"/>
        <w:kinsoku/>
        <w:wordWrap/>
        <w:overflowPunct/>
        <w:topLinePunct w:val="0"/>
        <w:autoSpaceDE/>
        <w:autoSpaceDN/>
        <w:bidi w:val="0"/>
        <w:adjustRightInd/>
        <w:snapToGrid/>
        <w:spacing w:before="217"/>
        <w:ind w:firstLine="0" w:firstLineChars="0"/>
        <w:jc w:val="center"/>
        <w:textAlignment w:val="auto"/>
        <w:rPr>
          <w:rFonts w:hint="default"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rPr>
        <w:t>武汉市生物多样性保护</w:t>
      </w:r>
      <w:bookmarkEnd w:id="0"/>
      <w:bookmarkEnd w:id="1"/>
      <w:r>
        <w:rPr>
          <w:rFonts w:hint="default" w:ascii="Times New Roman" w:hAnsi="Times New Roman" w:eastAsia="方正小标宋_GBK" w:cs="Times New Roman"/>
          <w:color w:val="auto"/>
          <w:sz w:val="44"/>
          <w:szCs w:val="44"/>
        </w:rPr>
        <w:t>规划</w:t>
      </w:r>
    </w:p>
    <w:p w14:paraId="3F56129E">
      <w:pPr>
        <w:keepNext w:val="0"/>
        <w:keepLines w:val="0"/>
        <w:pageBreakBefore w:val="0"/>
        <w:widowControl w:val="0"/>
        <w:kinsoku/>
        <w:wordWrap/>
        <w:overflowPunct/>
        <w:topLinePunct w:val="0"/>
        <w:autoSpaceDE/>
        <w:autoSpaceDN/>
        <w:bidi w:val="0"/>
        <w:adjustRightInd/>
        <w:snapToGrid/>
        <w:spacing w:before="217"/>
        <w:ind w:firstLine="0" w:firstLineChars="0"/>
        <w:jc w:val="center"/>
        <w:textAlignment w:val="auto"/>
        <w:rPr>
          <w:rFonts w:hint="default"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rPr>
        <w:t>（2025-2035年）</w:t>
      </w:r>
    </w:p>
    <w:p w14:paraId="3253EF31">
      <w:pPr>
        <w:keepNext w:val="0"/>
        <w:keepLines w:val="0"/>
        <w:pageBreakBefore w:val="0"/>
        <w:widowControl w:val="0"/>
        <w:kinsoku/>
        <w:wordWrap/>
        <w:overflowPunct/>
        <w:topLinePunct w:val="0"/>
        <w:autoSpaceDE/>
        <w:autoSpaceDN/>
        <w:bidi w:val="0"/>
        <w:adjustRightInd/>
        <w:snapToGrid/>
        <w:spacing w:before="217" w:after="217"/>
        <w:ind w:firstLine="0" w:firstLineChars="0"/>
        <w:jc w:val="center"/>
        <w:textAlignment w:val="auto"/>
        <w:rPr>
          <w:rFonts w:hint="default" w:ascii="Times New Roman" w:hAnsi="Times New Roman" w:eastAsia="仿宋_GB2312" w:cs="Times New Roman"/>
          <w:color w:val="auto"/>
          <w:lang w:val="en-US" w:eastAsia="zh-CN"/>
        </w:rPr>
      </w:pPr>
    </w:p>
    <w:p w14:paraId="7D0DF59A">
      <w:pPr>
        <w:keepNext w:val="0"/>
        <w:keepLines w:val="0"/>
        <w:pageBreakBefore w:val="0"/>
        <w:widowControl w:val="0"/>
        <w:kinsoku/>
        <w:wordWrap/>
        <w:overflowPunct/>
        <w:topLinePunct w:val="0"/>
        <w:autoSpaceDE/>
        <w:autoSpaceDN/>
        <w:bidi w:val="0"/>
        <w:adjustRightInd/>
        <w:snapToGrid/>
        <w:spacing w:before="217" w:after="217"/>
        <w:ind w:firstLine="0" w:firstLineChars="0"/>
        <w:jc w:val="center"/>
        <w:textAlignment w:val="auto"/>
        <w:rPr>
          <w:rFonts w:hint="default" w:ascii="Times New Roman" w:hAnsi="Times New Roman" w:cs="Times New Roman"/>
          <w:color w:val="auto"/>
        </w:rPr>
      </w:pPr>
    </w:p>
    <w:p w14:paraId="2604D8AC">
      <w:pPr>
        <w:keepNext w:val="0"/>
        <w:keepLines w:val="0"/>
        <w:pageBreakBefore w:val="0"/>
        <w:widowControl w:val="0"/>
        <w:kinsoku/>
        <w:wordWrap/>
        <w:overflowPunct/>
        <w:topLinePunct w:val="0"/>
        <w:autoSpaceDE/>
        <w:autoSpaceDN/>
        <w:bidi w:val="0"/>
        <w:adjustRightInd/>
        <w:snapToGrid/>
        <w:spacing w:before="217" w:after="217"/>
        <w:ind w:firstLine="0" w:firstLineChars="0"/>
        <w:jc w:val="center"/>
        <w:textAlignment w:val="auto"/>
        <w:rPr>
          <w:rFonts w:hint="default" w:ascii="Times New Roman" w:hAnsi="Times New Roman" w:cs="Times New Roman"/>
          <w:color w:val="auto"/>
        </w:rPr>
      </w:pPr>
    </w:p>
    <w:p w14:paraId="4F93BE4C">
      <w:pPr>
        <w:keepNext w:val="0"/>
        <w:keepLines w:val="0"/>
        <w:pageBreakBefore w:val="0"/>
        <w:widowControl w:val="0"/>
        <w:kinsoku/>
        <w:wordWrap/>
        <w:overflowPunct/>
        <w:topLinePunct w:val="0"/>
        <w:autoSpaceDE/>
        <w:autoSpaceDN/>
        <w:bidi w:val="0"/>
        <w:adjustRightInd/>
        <w:snapToGrid/>
        <w:spacing w:before="217" w:after="217"/>
        <w:ind w:firstLine="0" w:firstLineChars="0"/>
        <w:jc w:val="center"/>
        <w:textAlignment w:val="auto"/>
        <w:rPr>
          <w:rFonts w:hint="default" w:ascii="Times New Roman" w:hAnsi="Times New Roman" w:cs="Times New Roman"/>
          <w:color w:val="auto"/>
        </w:rPr>
      </w:pPr>
    </w:p>
    <w:p w14:paraId="0B800574">
      <w:pPr>
        <w:keepNext w:val="0"/>
        <w:keepLines w:val="0"/>
        <w:pageBreakBefore w:val="0"/>
        <w:widowControl w:val="0"/>
        <w:kinsoku/>
        <w:wordWrap/>
        <w:overflowPunct/>
        <w:topLinePunct w:val="0"/>
        <w:autoSpaceDE/>
        <w:autoSpaceDN/>
        <w:bidi w:val="0"/>
        <w:adjustRightInd/>
        <w:snapToGrid/>
        <w:spacing w:before="217" w:after="217"/>
        <w:ind w:firstLine="0" w:firstLineChars="0"/>
        <w:jc w:val="center"/>
        <w:textAlignment w:val="auto"/>
        <w:rPr>
          <w:rFonts w:hint="default" w:ascii="Times New Roman" w:hAnsi="Times New Roman" w:cs="Times New Roman"/>
          <w:color w:val="auto"/>
        </w:rPr>
      </w:pPr>
    </w:p>
    <w:p w14:paraId="207473BF">
      <w:pPr>
        <w:pStyle w:val="3"/>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rPr>
      </w:pPr>
    </w:p>
    <w:p w14:paraId="53C73277">
      <w:pPr>
        <w:pStyle w:val="33"/>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rPr>
      </w:pPr>
    </w:p>
    <w:p w14:paraId="4009172A">
      <w:pPr>
        <w:pStyle w:val="33"/>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rPr>
      </w:pPr>
    </w:p>
    <w:p w14:paraId="2014CD0B">
      <w:pPr>
        <w:pStyle w:val="33"/>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rPr>
      </w:pPr>
    </w:p>
    <w:p w14:paraId="0B224355">
      <w:pPr>
        <w:keepNext w:val="0"/>
        <w:keepLines w:val="0"/>
        <w:pageBreakBefore w:val="0"/>
        <w:widowControl w:val="0"/>
        <w:kinsoku/>
        <w:wordWrap/>
        <w:overflowPunct/>
        <w:topLinePunct w:val="0"/>
        <w:autoSpaceDE/>
        <w:autoSpaceDN/>
        <w:bidi w:val="0"/>
        <w:adjustRightInd/>
        <w:snapToGrid/>
        <w:spacing w:before="217" w:after="217"/>
        <w:ind w:firstLine="0" w:firstLineChars="0"/>
        <w:jc w:val="center"/>
        <w:textAlignment w:val="auto"/>
        <w:rPr>
          <w:rFonts w:hint="default" w:ascii="Times New Roman" w:hAnsi="Times New Roman" w:cs="Times New Roman"/>
          <w:color w:val="auto"/>
        </w:rPr>
      </w:pPr>
    </w:p>
    <w:p w14:paraId="4782C306">
      <w:pPr>
        <w:keepNext w:val="0"/>
        <w:keepLines w:val="0"/>
        <w:pageBreakBefore w:val="0"/>
        <w:widowControl w:val="0"/>
        <w:kinsoku/>
        <w:wordWrap/>
        <w:overflowPunct/>
        <w:topLinePunct w:val="0"/>
        <w:autoSpaceDE/>
        <w:autoSpaceDN/>
        <w:bidi w:val="0"/>
        <w:adjustRightInd/>
        <w:snapToGrid/>
        <w:spacing w:before="217" w:after="217"/>
        <w:ind w:firstLine="0" w:firstLineChars="0"/>
        <w:jc w:val="center"/>
        <w:textAlignment w:val="auto"/>
        <w:rPr>
          <w:rFonts w:hint="default" w:ascii="Times New Roman" w:hAnsi="Times New Roman" w:cs="Times New Roman"/>
          <w:color w:val="auto"/>
        </w:rPr>
      </w:pPr>
    </w:p>
    <w:p w14:paraId="6F6C3DEA">
      <w:pPr>
        <w:pStyle w:val="3"/>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rPr>
      </w:pPr>
    </w:p>
    <w:p w14:paraId="53C2F7D1">
      <w:pPr>
        <w:keepNext w:val="0"/>
        <w:keepLines w:val="0"/>
        <w:pageBreakBefore w:val="0"/>
        <w:widowControl w:val="0"/>
        <w:kinsoku/>
        <w:wordWrap/>
        <w:overflowPunct/>
        <w:topLinePunct w:val="0"/>
        <w:autoSpaceDE/>
        <w:autoSpaceDN/>
        <w:bidi w:val="0"/>
        <w:adjustRightInd/>
        <w:snapToGrid/>
        <w:spacing w:before="217" w:line="640" w:lineRule="exact"/>
        <w:ind w:firstLine="0" w:firstLineChars="0"/>
        <w:jc w:val="center"/>
        <w:textAlignment w:val="auto"/>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武汉市生态环境局</w:t>
      </w:r>
    </w:p>
    <w:p w14:paraId="66B39F23">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二〇二五年</w:t>
      </w:r>
      <w:r>
        <w:rPr>
          <w:rFonts w:hint="default" w:ascii="Times New Roman" w:hAnsi="Times New Roman" w:eastAsia="楷体_GB2312" w:cs="Times New Roman"/>
          <w:color w:val="auto"/>
          <w:sz w:val="36"/>
          <w:szCs w:val="36"/>
          <w:lang w:eastAsia="zh-CN"/>
        </w:rPr>
        <w:t>十</w:t>
      </w:r>
      <w:r>
        <w:rPr>
          <w:rFonts w:hint="default" w:ascii="Times New Roman" w:hAnsi="Times New Roman" w:eastAsia="楷体_GB2312" w:cs="Times New Roman"/>
          <w:color w:val="auto"/>
          <w:sz w:val="36"/>
          <w:szCs w:val="36"/>
        </w:rPr>
        <w:t>月</w:t>
      </w:r>
    </w:p>
    <w:p w14:paraId="5BF8B2A4">
      <w:pPr>
        <w:pStyle w:val="33"/>
        <w:rPr>
          <w:rFonts w:hint="default" w:ascii="Times New Roman" w:hAnsi="Times New Roman" w:cs="Times New Roman"/>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4" w:left="1587" w:header="851" w:footer="1446" w:gutter="0"/>
          <w:pgNumType w:fmt="numberInDash"/>
          <w:cols w:space="0" w:num="1"/>
          <w:docGrid w:type="lines" w:linePitch="439" w:charSpace="0"/>
        </w:sectPr>
      </w:pPr>
    </w:p>
    <w:p w14:paraId="06D4F9E7">
      <w:pPr>
        <w:ind w:firstLine="0" w:firstLineChars="0"/>
        <w:jc w:val="center"/>
        <w:rPr>
          <w:rFonts w:hint="default" w:ascii="Times New Roman" w:hAnsi="Times New Roman" w:eastAsia="方正小标宋_GBK" w:cs="Times New Roman"/>
          <w:color w:val="auto"/>
          <w:sz w:val="36"/>
          <w:szCs w:val="24"/>
        </w:rPr>
      </w:pPr>
      <w:r>
        <w:rPr>
          <w:rFonts w:hint="default" w:ascii="Times New Roman" w:hAnsi="Times New Roman" w:eastAsia="方正小标宋_GBK" w:cs="Times New Roman"/>
          <w:color w:val="auto"/>
          <w:sz w:val="36"/>
          <w:szCs w:val="24"/>
        </w:rPr>
        <w:t>目  录</w:t>
      </w:r>
    </w:p>
    <w:sdt>
      <w:sdtPr>
        <w:rPr>
          <w:rFonts w:hint="default" w:ascii="Times New Roman" w:hAnsi="Times New Roman" w:eastAsia="黑体" w:cs="Times New Roman"/>
          <w:color w:val="auto"/>
          <w:sz w:val="36"/>
          <w:szCs w:val="40"/>
        </w:rPr>
        <w:id w:val="147452158"/>
        <w15:color w:val="DBDBDB"/>
        <w:docPartObj>
          <w:docPartGallery w:val="Table of Contents"/>
          <w:docPartUnique/>
        </w:docPartObj>
      </w:sdtPr>
      <w:sdtEndPr>
        <w:rPr>
          <w:rFonts w:hint="default" w:ascii="Times New Roman" w:hAnsi="Times New Roman" w:eastAsia="仿宋_GB2312" w:cs="Times New Roman"/>
          <w:color w:val="auto"/>
          <w:sz w:val="30"/>
          <w:szCs w:val="30"/>
        </w:rPr>
      </w:sdtEndPr>
      <w:sdtContent>
        <w:p w14:paraId="7CB4DBF7">
          <w:pPr>
            <w:ind w:firstLine="720"/>
            <w:jc w:val="both"/>
            <w:rPr>
              <w:rFonts w:hint="default" w:ascii="Times New Roman" w:hAnsi="Times New Roman" w:cs="Times New Roman"/>
              <w:color w:val="auto"/>
              <w:sz w:val="16"/>
              <w:szCs w:val="16"/>
            </w:rPr>
          </w:pPr>
        </w:p>
        <w:p w14:paraId="031439DA">
          <w:pPr>
            <w:pStyle w:val="18"/>
            <w:spacing w:before="0" w:after="0"/>
            <w:ind w:left="640"/>
            <w:rPr>
              <w:rFonts w:hint="default" w:ascii="Times New Roman" w:hAnsi="Times New Roman" w:cs="Times New Roman" w:eastAsiaTheme="minorEastAsia"/>
              <w:color w:val="auto"/>
              <w:sz w:val="21"/>
              <w:szCs w:val="22"/>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TOC \o "1-2" \h \z \u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"_Toc194476126"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前  言</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_Toc194476126 \h </w:instrText>
          </w:r>
          <w:r>
            <w:rPr>
              <w:rFonts w:hint="default" w:ascii="Times New Roman" w:hAnsi="Times New Roman" w:cs="Times New Roman"/>
              <w:color w:val="auto"/>
            </w:rPr>
            <w:fldChar w:fldCharType="separate"/>
          </w:r>
          <w:r>
            <w:rPr>
              <w:rFonts w:hint="default" w:ascii="Times New Roman" w:hAnsi="Times New Roman" w:cs="Times New Roman"/>
              <w:color w:val="auto"/>
            </w:rPr>
            <w:t>- 1 -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676CC785">
          <w:pPr>
            <w:pStyle w:val="18"/>
            <w:spacing w:before="0" w:after="0"/>
            <w:ind w:left="640"/>
            <w:rPr>
              <w:rFonts w:hint="default" w:ascii="Times New Roman" w:hAnsi="Times New Roman" w:cs="Times New Roman" w:eastAsiaTheme="minorEastAsia"/>
              <w:color w:val="auto"/>
              <w:sz w:val="21"/>
              <w:szCs w:val="22"/>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"_Toc194476127"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第一章  武汉市生物多样性状况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_Toc194476127 \h </w:instrText>
          </w:r>
          <w:r>
            <w:rPr>
              <w:rFonts w:hint="default" w:ascii="Times New Roman" w:hAnsi="Times New Roman" w:cs="Times New Roman"/>
              <w:color w:val="auto"/>
            </w:rPr>
            <w:fldChar w:fldCharType="separate"/>
          </w:r>
          <w:r>
            <w:rPr>
              <w:rFonts w:hint="default" w:ascii="Times New Roman" w:hAnsi="Times New Roman" w:cs="Times New Roman"/>
              <w:color w:val="auto"/>
            </w:rPr>
            <w:t>- 3 -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23604A49">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"_Toc194476128"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（一）自然地理概况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_Toc194476128 \h </w:instrText>
          </w:r>
          <w:r>
            <w:rPr>
              <w:rFonts w:hint="default" w:ascii="Times New Roman" w:hAnsi="Times New Roman" w:cs="Times New Roman"/>
              <w:color w:val="auto"/>
            </w:rPr>
            <w:fldChar w:fldCharType="separate"/>
          </w:r>
          <w:r>
            <w:rPr>
              <w:rFonts w:hint="default" w:ascii="Times New Roman" w:hAnsi="Times New Roman" w:cs="Times New Roman"/>
              <w:color w:val="auto"/>
            </w:rPr>
            <w:t>- 3 -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31A6C933">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"_Toc194476129"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（二）社会经济概况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_Toc194476129 \h </w:instrText>
          </w:r>
          <w:r>
            <w:rPr>
              <w:rFonts w:hint="default" w:ascii="Times New Roman" w:hAnsi="Times New Roman" w:cs="Times New Roman"/>
              <w:color w:val="auto"/>
            </w:rPr>
            <w:fldChar w:fldCharType="separate"/>
          </w:r>
          <w:r>
            <w:rPr>
              <w:rFonts w:hint="default" w:ascii="Times New Roman" w:hAnsi="Times New Roman" w:cs="Times New Roman"/>
              <w:color w:val="auto"/>
            </w:rPr>
            <w:t>- 4 -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0CBE7567">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"_Toc194476130"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（三）生物多样性概况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_Toc194476130 \h </w:instrText>
          </w:r>
          <w:r>
            <w:rPr>
              <w:rFonts w:hint="default" w:ascii="Times New Roman" w:hAnsi="Times New Roman" w:cs="Times New Roman"/>
              <w:color w:val="auto"/>
            </w:rPr>
            <w:fldChar w:fldCharType="separate"/>
          </w:r>
          <w:r>
            <w:rPr>
              <w:rFonts w:hint="default" w:ascii="Times New Roman" w:hAnsi="Times New Roman" w:cs="Times New Roman"/>
              <w:color w:val="auto"/>
            </w:rPr>
            <w:t>- 5 -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0E888EF9">
          <w:pPr>
            <w:pStyle w:val="18"/>
            <w:spacing w:before="0" w:after="0"/>
            <w:ind w:left="640"/>
            <w:rPr>
              <w:rFonts w:hint="default" w:ascii="Times New Roman" w:hAnsi="Times New Roman" w:cs="Times New Roman" w:eastAsiaTheme="minorEastAsia"/>
              <w:color w:val="auto"/>
              <w:sz w:val="21"/>
              <w:szCs w:val="22"/>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"_Toc194476131"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第二章  生物多样性保护成就与形势</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_Toc194476131 \h </w:instrText>
          </w:r>
          <w:r>
            <w:rPr>
              <w:rFonts w:hint="default" w:ascii="Times New Roman" w:hAnsi="Times New Roman" w:cs="Times New Roman"/>
              <w:color w:val="auto"/>
            </w:rPr>
            <w:fldChar w:fldCharType="separate"/>
          </w:r>
          <w:r>
            <w:rPr>
              <w:rFonts w:hint="default" w:ascii="Times New Roman" w:hAnsi="Times New Roman" w:cs="Times New Roman"/>
              <w:color w:val="auto"/>
            </w:rPr>
            <w:t>- 7 -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12F82D6E">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"_Toc194476132"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（一）生物多样性保护成就</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_Toc194476132 \h </w:instrText>
          </w:r>
          <w:r>
            <w:rPr>
              <w:rFonts w:hint="default" w:ascii="Times New Roman" w:hAnsi="Times New Roman" w:cs="Times New Roman"/>
              <w:color w:val="auto"/>
            </w:rPr>
            <w:fldChar w:fldCharType="separate"/>
          </w:r>
          <w:r>
            <w:rPr>
              <w:rFonts w:hint="default" w:ascii="Times New Roman" w:hAnsi="Times New Roman" w:cs="Times New Roman"/>
              <w:color w:val="auto"/>
            </w:rPr>
            <w:t>- 7 -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0AF9B7E2">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"_Toc194476133"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（二）生物多样性保护的机遇与挑战</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_Toc194476133 \h </w:instrText>
          </w:r>
          <w:r>
            <w:rPr>
              <w:rFonts w:hint="default" w:ascii="Times New Roman" w:hAnsi="Times New Roman" w:cs="Times New Roman"/>
              <w:color w:val="auto"/>
            </w:rPr>
            <w:fldChar w:fldCharType="separate"/>
          </w:r>
          <w:r>
            <w:rPr>
              <w:rFonts w:hint="default" w:ascii="Times New Roman" w:hAnsi="Times New Roman" w:cs="Times New Roman"/>
              <w:color w:val="auto"/>
            </w:rPr>
            <w:t>- 10 -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62ED9810">
          <w:pPr>
            <w:pStyle w:val="18"/>
            <w:spacing w:before="0" w:after="0"/>
            <w:ind w:left="640"/>
            <w:rPr>
              <w:rFonts w:hint="default" w:ascii="Times New Roman" w:hAnsi="Times New Roman" w:cs="Times New Roman" w:eastAsiaTheme="minorEastAsia"/>
              <w:color w:val="auto"/>
              <w:sz w:val="21"/>
              <w:szCs w:val="22"/>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"_Toc194476134"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第三章  生物多样性保护总体目标与任务</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_Toc194476134 \h </w:instrText>
          </w:r>
          <w:r>
            <w:rPr>
              <w:rFonts w:hint="default" w:ascii="Times New Roman" w:hAnsi="Times New Roman" w:cs="Times New Roman"/>
              <w:color w:val="auto"/>
            </w:rPr>
            <w:fldChar w:fldCharType="separate"/>
          </w:r>
          <w:r>
            <w:rPr>
              <w:rFonts w:hint="default" w:ascii="Times New Roman" w:hAnsi="Times New Roman" w:cs="Times New Roman"/>
              <w:color w:val="auto"/>
            </w:rPr>
            <w:t>- 14 -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452DC18C">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"_Toc194476135"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（一）规划依据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_Toc194476135 \h </w:instrText>
          </w:r>
          <w:r>
            <w:rPr>
              <w:rFonts w:hint="default" w:ascii="Times New Roman" w:hAnsi="Times New Roman" w:cs="Times New Roman"/>
              <w:color w:val="auto"/>
            </w:rPr>
            <w:fldChar w:fldCharType="separate"/>
          </w:r>
          <w:r>
            <w:rPr>
              <w:rFonts w:hint="default" w:ascii="Times New Roman" w:hAnsi="Times New Roman" w:cs="Times New Roman"/>
              <w:color w:val="auto"/>
            </w:rPr>
            <w:t>- 14 -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0E4542CE">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"_Toc194476136"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（二）规划范围与期限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_Toc194476136 \h </w:instrText>
          </w:r>
          <w:r>
            <w:rPr>
              <w:rFonts w:hint="default" w:ascii="Times New Roman" w:hAnsi="Times New Roman" w:cs="Times New Roman"/>
              <w:color w:val="auto"/>
            </w:rPr>
            <w:fldChar w:fldCharType="separate"/>
          </w:r>
          <w:r>
            <w:rPr>
              <w:rFonts w:hint="default" w:ascii="Times New Roman" w:hAnsi="Times New Roman" w:cs="Times New Roman"/>
              <w:color w:val="auto"/>
            </w:rPr>
            <w:t>- 17 -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5810446B">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"_Toc194476137"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（三）指导思想</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_Toc194476137 \h </w:instrText>
          </w:r>
          <w:r>
            <w:rPr>
              <w:rFonts w:hint="default" w:ascii="Times New Roman" w:hAnsi="Times New Roman" w:cs="Times New Roman"/>
              <w:color w:val="auto"/>
            </w:rPr>
            <w:fldChar w:fldCharType="separate"/>
          </w:r>
          <w:r>
            <w:rPr>
              <w:rFonts w:hint="default" w:ascii="Times New Roman" w:hAnsi="Times New Roman" w:cs="Times New Roman"/>
              <w:color w:val="auto"/>
            </w:rPr>
            <w:t>- 17 -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700DC75D">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"_Toc194476138"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（四）基本原则</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_Toc194476138 \h </w:instrText>
          </w:r>
          <w:r>
            <w:rPr>
              <w:rFonts w:hint="default" w:ascii="Times New Roman" w:hAnsi="Times New Roman" w:cs="Times New Roman"/>
              <w:color w:val="auto"/>
            </w:rPr>
            <w:fldChar w:fldCharType="separate"/>
          </w:r>
          <w:r>
            <w:rPr>
              <w:rFonts w:hint="default" w:ascii="Times New Roman" w:hAnsi="Times New Roman" w:cs="Times New Roman"/>
              <w:color w:val="auto"/>
            </w:rPr>
            <w:t>- 17 -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6EBBEFB6">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"_Toc194476139"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（五）规划目标</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_Toc194476139 \h </w:instrText>
          </w:r>
          <w:r>
            <w:rPr>
              <w:rFonts w:hint="default" w:ascii="Times New Roman" w:hAnsi="Times New Roman" w:cs="Times New Roman"/>
              <w:color w:val="auto"/>
            </w:rPr>
            <w:fldChar w:fldCharType="separate"/>
          </w:r>
          <w:r>
            <w:rPr>
              <w:rFonts w:hint="default" w:ascii="Times New Roman" w:hAnsi="Times New Roman" w:cs="Times New Roman"/>
              <w:color w:val="auto"/>
            </w:rPr>
            <w:t>- 18 -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3900B584">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"_Toc194476140"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（六）主要任务</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_Toc194476140 \h </w:instrText>
          </w:r>
          <w:r>
            <w:rPr>
              <w:rFonts w:hint="default" w:ascii="Times New Roman" w:hAnsi="Times New Roman" w:cs="Times New Roman"/>
              <w:color w:val="auto"/>
            </w:rPr>
            <w:fldChar w:fldCharType="separate"/>
          </w:r>
          <w:r>
            <w:rPr>
              <w:rFonts w:hint="default" w:ascii="Times New Roman" w:hAnsi="Times New Roman" w:cs="Times New Roman"/>
              <w:color w:val="auto"/>
            </w:rPr>
            <w:t>- 22 -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68B5603D">
          <w:pPr>
            <w:pStyle w:val="18"/>
            <w:spacing w:before="0" w:after="0"/>
            <w:ind w:left="640"/>
            <w:rPr>
              <w:rFonts w:hint="default" w:ascii="Times New Roman" w:hAnsi="Times New Roman" w:cs="Times New Roman" w:eastAsiaTheme="minorEastAsia"/>
              <w:color w:val="auto"/>
              <w:sz w:val="21"/>
              <w:szCs w:val="22"/>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"_Toc194476141"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第四章  生物多样性保护优先区域</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_Toc194476141 \h </w:instrText>
          </w:r>
          <w:r>
            <w:rPr>
              <w:rFonts w:hint="default" w:ascii="Times New Roman" w:hAnsi="Times New Roman" w:cs="Times New Roman"/>
              <w:color w:val="auto"/>
            </w:rPr>
            <w:fldChar w:fldCharType="separate"/>
          </w:r>
          <w:r>
            <w:rPr>
              <w:rFonts w:hint="default" w:ascii="Times New Roman" w:hAnsi="Times New Roman" w:cs="Times New Roman"/>
              <w:color w:val="auto"/>
            </w:rPr>
            <w:t>- 24 -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66B63848">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"_Toc194476142"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（一）保护优先区域划定方法</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_Toc194476142 \h </w:instrText>
          </w:r>
          <w:r>
            <w:rPr>
              <w:rFonts w:hint="default" w:ascii="Times New Roman" w:hAnsi="Times New Roman" w:cs="Times New Roman"/>
              <w:color w:val="auto"/>
            </w:rPr>
            <w:fldChar w:fldCharType="separate"/>
          </w:r>
          <w:r>
            <w:rPr>
              <w:rFonts w:hint="default" w:ascii="Times New Roman" w:hAnsi="Times New Roman" w:cs="Times New Roman"/>
              <w:color w:val="auto"/>
            </w:rPr>
            <w:t>- 24 -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7060EA83">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"_Toc194476143"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（二）优先保护物种</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_Toc194476143 \h </w:instrText>
          </w:r>
          <w:r>
            <w:rPr>
              <w:rFonts w:hint="default" w:ascii="Times New Roman" w:hAnsi="Times New Roman" w:cs="Times New Roman"/>
              <w:color w:val="auto"/>
            </w:rPr>
            <w:fldChar w:fldCharType="separate"/>
          </w:r>
          <w:r>
            <w:rPr>
              <w:rFonts w:hint="default" w:ascii="Times New Roman" w:hAnsi="Times New Roman" w:cs="Times New Roman"/>
              <w:color w:val="auto"/>
            </w:rPr>
            <w:t>- 24 -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098F1DA4">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"_Toc194476144"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（三）保护优先区域</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_Toc194476144 \h </w:instrText>
          </w:r>
          <w:r>
            <w:rPr>
              <w:rFonts w:hint="default" w:ascii="Times New Roman" w:hAnsi="Times New Roman" w:cs="Times New Roman"/>
              <w:color w:val="auto"/>
            </w:rPr>
            <w:fldChar w:fldCharType="separate"/>
          </w:r>
          <w:r>
            <w:rPr>
              <w:rFonts w:hint="default" w:ascii="Times New Roman" w:hAnsi="Times New Roman" w:cs="Times New Roman"/>
              <w:color w:val="auto"/>
            </w:rPr>
            <w:t>- 36 -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75EE21A7">
          <w:pPr>
            <w:pStyle w:val="18"/>
            <w:spacing w:before="0" w:after="0"/>
            <w:ind w:left="640"/>
            <w:rPr>
              <w:rFonts w:hint="default" w:ascii="Times New Roman" w:hAnsi="Times New Roman" w:cs="Times New Roman" w:eastAsiaTheme="minorEastAsia"/>
              <w:color w:val="auto"/>
              <w:sz w:val="21"/>
              <w:szCs w:val="22"/>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"_Toc194476145"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第五章  生物多样性保护优先领域与优先行动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_Toc194476145 \h </w:instrText>
          </w:r>
          <w:r>
            <w:rPr>
              <w:rFonts w:hint="default" w:ascii="Times New Roman" w:hAnsi="Times New Roman" w:cs="Times New Roman"/>
              <w:color w:val="auto"/>
            </w:rPr>
            <w:fldChar w:fldCharType="separate"/>
          </w:r>
          <w:r>
            <w:rPr>
              <w:rFonts w:hint="default" w:ascii="Times New Roman" w:hAnsi="Times New Roman" w:cs="Times New Roman"/>
              <w:color w:val="auto"/>
            </w:rPr>
            <w:t>- 41 -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05783687">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"_Toc194476146"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领域一：深入推进生物多样性主流化</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_Toc194476146 \h </w:instrText>
          </w:r>
          <w:r>
            <w:rPr>
              <w:rFonts w:hint="default" w:ascii="Times New Roman" w:hAnsi="Times New Roman" w:cs="Times New Roman"/>
              <w:color w:val="auto"/>
            </w:rPr>
            <w:fldChar w:fldCharType="separate"/>
          </w:r>
          <w:r>
            <w:rPr>
              <w:rFonts w:hint="default" w:ascii="Times New Roman" w:hAnsi="Times New Roman" w:cs="Times New Roman"/>
              <w:color w:val="auto"/>
            </w:rPr>
            <w:t>- 41 -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6905D69E">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"_Toc194476147"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领域二：全力应对生物多样性丧失威胁</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_Toc194476147 \h </w:instrText>
          </w:r>
          <w:r>
            <w:rPr>
              <w:rFonts w:hint="default" w:ascii="Times New Roman" w:hAnsi="Times New Roman" w:cs="Times New Roman"/>
              <w:color w:val="auto"/>
            </w:rPr>
            <w:fldChar w:fldCharType="separate"/>
          </w:r>
          <w:r>
            <w:rPr>
              <w:rFonts w:hint="default" w:ascii="Times New Roman" w:hAnsi="Times New Roman" w:cs="Times New Roman"/>
              <w:color w:val="auto"/>
            </w:rPr>
            <w:t>- 42 -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0C63FB04">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"_Toc194476148"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领域三：深化生物多样性可持续开发利用与惠益共享</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_Toc194476148 \h </w:instrText>
          </w:r>
          <w:r>
            <w:rPr>
              <w:rFonts w:hint="default" w:ascii="Times New Roman" w:hAnsi="Times New Roman" w:cs="Times New Roman"/>
              <w:color w:val="auto"/>
            </w:rPr>
            <w:fldChar w:fldCharType="separate"/>
          </w:r>
          <w:r>
            <w:rPr>
              <w:rFonts w:hint="default" w:ascii="Times New Roman" w:hAnsi="Times New Roman" w:cs="Times New Roman"/>
              <w:color w:val="auto"/>
            </w:rPr>
            <w:t>- 52 -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7F9510E4">
          <w:pPr>
            <w:pStyle w:val="23"/>
            <w:ind w:left="640" w:firstLine="560"/>
            <w:rPr>
              <w:rFonts w:hint="default" w:ascii="Times New Roman" w:hAnsi="Times New Roman" w:cs="Times New Roman"/>
              <w:color w:val="auto"/>
            </w:rPr>
            <w:sectPr>
              <w:footerReference r:id="rId11" w:type="default"/>
              <w:pgSz w:w="11906" w:h="16838"/>
              <w:pgMar w:top="1440" w:right="1800" w:bottom="1440" w:left="1800" w:header="851" w:footer="992" w:gutter="0"/>
              <w:pgNumType w:fmt="numberInDash" w:start="1"/>
              <w:cols w:space="425" w:num="1"/>
              <w:docGrid w:type="lines" w:linePitch="312" w:charSpace="0"/>
            </w:sectPr>
          </w:pPr>
        </w:p>
        <w:p w14:paraId="69314138">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"_Toc194476149"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领域四：切实提升生物多样性保护现代化治理能力</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_Toc194476149 \h </w:instrText>
          </w:r>
          <w:r>
            <w:rPr>
              <w:rFonts w:hint="default" w:ascii="Times New Roman" w:hAnsi="Times New Roman" w:cs="Times New Roman"/>
              <w:color w:val="auto"/>
            </w:rPr>
            <w:fldChar w:fldCharType="separate"/>
          </w:r>
          <w:r>
            <w:rPr>
              <w:rFonts w:hint="default" w:ascii="Times New Roman" w:hAnsi="Times New Roman" w:cs="Times New Roman"/>
              <w:color w:val="auto"/>
            </w:rPr>
            <w:t>- 57 -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10C3D742">
          <w:pPr>
            <w:pStyle w:val="18"/>
            <w:spacing w:before="0" w:after="0"/>
            <w:ind w:left="640"/>
            <w:rPr>
              <w:rFonts w:hint="default" w:ascii="Times New Roman" w:hAnsi="Times New Roman" w:cs="Times New Roman" w:eastAsiaTheme="minorEastAsia"/>
              <w:color w:val="auto"/>
              <w:sz w:val="21"/>
              <w:szCs w:val="22"/>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"_Toc194476150"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第六章  保障措施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_Toc194476151 \h </w:instrText>
          </w:r>
          <w:r>
            <w:rPr>
              <w:rFonts w:hint="default" w:ascii="Times New Roman" w:hAnsi="Times New Roman" w:cs="Times New Roman"/>
              <w:color w:val="auto"/>
            </w:rPr>
            <w:fldChar w:fldCharType="separate"/>
          </w:r>
          <w:r>
            <w:rPr>
              <w:rFonts w:hint="default" w:ascii="Times New Roman" w:hAnsi="Times New Roman" w:cs="Times New Roman"/>
              <w:color w:val="auto"/>
            </w:rPr>
            <w:t>- 62 -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3E438D2C">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"_Toc194476151"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（一）制度保障</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_Toc194476151 \h </w:instrText>
          </w:r>
          <w:r>
            <w:rPr>
              <w:rFonts w:hint="default" w:ascii="Times New Roman" w:hAnsi="Times New Roman" w:cs="Times New Roman"/>
              <w:color w:val="auto"/>
            </w:rPr>
            <w:fldChar w:fldCharType="separate"/>
          </w:r>
          <w:r>
            <w:rPr>
              <w:rFonts w:hint="default" w:ascii="Times New Roman" w:hAnsi="Times New Roman" w:cs="Times New Roman"/>
              <w:color w:val="auto"/>
            </w:rPr>
            <w:t>- 62 -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1E3A1EBD">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"_Toc194476152"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（二）组织保障</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_Toc194476152 \h </w:instrText>
          </w:r>
          <w:r>
            <w:rPr>
              <w:rFonts w:hint="default" w:ascii="Times New Roman" w:hAnsi="Times New Roman" w:cs="Times New Roman"/>
              <w:color w:val="auto"/>
            </w:rPr>
            <w:fldChar w:fldCharType="separate"/>
          </w:r>
          <w:r>
            <w:rPr>
              <w:rFonts w:hint="default" w:ascii="Times New Roman" w:hAnsi="Times New Roman" w:cs="Times New Roman"/>
              <w:color w:val="auto"/>
            </w:rPr>
            <w:t>- 62 -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1EFDC750">
          <w:pPr>
            <w:pStyle w:val="23"/>
            <w:ind w:left="640" w:firstLine="560"/>
            <w:rPr>
              <w:rFonts w:hint="default" w:ascii="Times New Roman" w:hAnsi="Times New Roman" w:cs="Times New Roman" w:eastAsiaTheme="minorEastAsia"/>
              <w:color w:val="auto"/>
              <w:sz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"_Toc194476153"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（三）资金保障</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_Toc194476153 \h </w:instrText>
          </w:r>
          <w:r>
            <w:rPr>
              <w:rFonts w:hint="default" w:ascii="Times New Roman" w:hAnsi="Times New Roman" w:cs="Times New Roman"/>
              <w:color w:val="auto"/>
            </w:rPr>
            <w:fldChar w:fldCharType="separate"/>
          </w:r>
          <w:r>
            <w:rPr>
              <w:rFonts w:hint="default" w:ascii="Times New Roman" w:hAnsi="Times New Roman" w:cs="Times New Roman"/>
              <w:color w:val="auto"/>
            </w:rPr>
            <w:t>- 62 -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6DF528CD">
          <w:pPr>
            <w:pStyle w:val="18"/>
            <w:spacing w:before="0" w:after="0"/>
            <w:ind w:left="640"/>
            <w:rPr>
              <w:rFonts w:hint="default" w:ascii="Times New Roman" w:hAnsi="Times New Roman" w:cs="Times New Roman" w:eastAsiaTheme="minorEastAsia"/>
              <w:color w:val="auto"/>
              <w:sz w:val="21"/>
              <w:szCs w:val="22"/>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"_Toc194476154"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附表1  生物多样性保护优先项目汇总表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_Toc194476154 \h </w:instrText>
          </w:r>
          <w:r>
            <w:rPr>
              <w:rFonts w:hint="default" w:ascii="Times New Roman" w:hAnsi="Times New Roman" w:cs="Times New Roman"/>
              <w:color w:val="auto"/>
            </w:rPr>
            <w:fldChar w:fldCharType="separate"/>
          </w:r>
          <w:r>
            <w:rPr>
              <w:rFonts w:hint="default" w:ascii="Times New Roman" w:hAnsi="Times New Roman" w:cs="Times New Roman"/>
              <w:color w:val="auto"/>
            </w:rPr>
            <w:t>- 63 -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55921ADF">
          <w:pPr>
            <w:pStyle w:val="18"/>
            <w:spacing w:before="0" w:after="0"/>
            <w:ind w:left="640"/>
            <w:rPr>
              <w:rFonts w:hint="default" w:ascii="Times New Roman" w:hAnsi="Times New Roman" w:cs="Times New Roman" w:eastAsiaTheme="minorEastAsia"/>
              <w:color w:val="auto"/>
              <w:sz w:val="21"/>
              <w:szCs w:val="22"/>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"_Toc194476155"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附表2  生物多样性保护重大工程汇总表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_Toc194476155 \h </w:instrText>
          </w:r>
          <w:r>
            <w:rPr>
              <w:rFonts w:hint="default" w:ascii="Times New Roman" w:hAnsi="Times New Roman" w:cs="Times New Roman"/>
              <w:color w:val="auto"/>
            </w:rPr>
            <w:fldChar w:fldCharType="separate"/>
          </w:r>
          <w:r>
            <w:rPr>
              <w:rFonts w:hint="default" w:ascii="Times New Roman" w:hAnsi="Times New Roman" w:cs="Times New Roman"/>
              <w:color w:val="auto"/>
            </w:rPr>
            <w:t>- 67 -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07EA5B80">
          <w:pPr>
            <w:pStyle w:val="18"/>
            <w:spacing w:before="0" w:after="0"/>
            <w:ind w:left="640"/>
            <w:rPr>
              <w:rFonts w:hint="default" w:ascii="Times New Roman" w:hAnsi="Times New Roman" w:cs="Times New Roman" w:eastAsiaTheme="minorEastAsia"/>
              <w:color w:val="auto"/>
              <w:sz w:val="21"/>
              <w:szCs w:val="22"/>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"_Toc194476156" </w:instrText>
          </w:r>
          <w:r>
            <w:rPr>
              <w:rFonts w:hint="default" w:ascii="Times New Roman" w:hAnsi="Times New Roman" w:cs="Times New Roman"/>
              <w:color w:val="auto"/>
            </w:rPr>
            <w:fldChar w:fldCharType="separate"/>
          </w:r>
          <w:r>
            <w:rPr>
              <w:rStyle w:val="30"/>
              <w:rFonts w:hint="default" w:ascii="Times New Roman" w:hAnsi="Times New Roman" w:cs="Times New Roman"/>
              <w:color w:val="auto"/>
            </w:rPr>
            <w:t>附图</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_Toc194476156 \h </w:instrText>
          </w:r>
          <w:r>
            <w:rPr>
              <w:rFonts w:hint="default" w:ascii="Times New Roman" w:hAnsi="Times New Roman" w:cs="Times New Roman"/>
              <w:color w:val="auto"/>
            </w:rPr>
            <w:fldChar w:fldCharType="separate"/>
          </w:r>
          <w:r>
            <w:rPr>
              <w:rFonts w:hint="default" w:ascii="Times New Roman" w:hAnsi="Times New Roman" w:cs="Times New Roman"/>
              <w:color w:val="auto"/>
            </w:rPr>
            <w:t>- 69 -</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14:paraId="2CCABF9A">
          <w:pPr>
            <w:tabs>
              <w:tab w:val="right" w:leader="dot" w:pos="8222"/>
            </w:tabs>
            <w:spacing w:line="360" w:lineRule="auto"/>
            <w:ind w:left="200" w:firstLine="560"/>
            <w:rPr>
              <w:rFonts w:hint="default" w:ascii="Times New Roman" w:hAnsi="Times New Roman" w:cs="Times New Roman"/>
              <w:color w:val="auto"/>
              <w:sz w:val="30"/>
              <w:szCs w:val="30"/>
            </w:rPr>
          </w:pPr>
          <w:r>
            <w:rPr>
              <w:rFonts w:hint="default" w:ascii="Times New Roman" w:hAnsi="Times New Roman" w:eastAsia="黑体" w:cs="Times New Roman"/>
              <w:color w:val="auto"/>
              <w:sz w:val="28"/>
              <w:szCs w:val="28"/>
            </w:rPr>
            <w:fldChar w:fldCharType="end"/>
          </w:r>
        </w:p>
      </w:sdtContent>
    </w:sdt>
    <w:p w14:paraId="73EB43EB">
      <w:pPr>
        <w:tabs>
          <w:tab w:val="right" w:leader="dot" w:pos="8306"/>
        </w:tabs>
        <w:spacing w:line="480" w:lineRule="exact"/>
        <w:ind w:firstLine="600"/>
        <w:jc w:val="both"/>
        <w:rPr>
          <w:rFonts w:hint="default" w:ascii="Times New Roman" w:hAnsi="Times New Roman" w:cs="Times New Roman"/>
          <w:color w:val="auto"/>
          <w:sz w:val="30"/>
          <w:szCs w:val="30"/>
        </w:rPr>
        <w:sectPr>
          <w:footerReference r:id="rId12" w:type="default"/>
          <w:pgSz w:w="11906" w:h="16838"/>
          <w:pgMar w:top="1440" w:right="1800" w:bottom="1440" w:left="1800" w:header="851" w:footer="992" w:gutter="0"/>
          <w:pgNumType w:fmt="numberInDash" w:start="1"/>
          <w:cols w:space="425" w:num="1"/>
          <w:docGrid w:type="lines" w:linePitch="312" w:charSpace="0"/>
        </w:sectPr>
      </w:pPr>
    </w:p>
    <w:p w14:paraId="50BDCDB9">
      <w:pPr>
        <w:pStyle w:val="43"/>
        <w:spacing w:after="0" w:afterLines="0"/>
        <w:rPr>
          <w:rFonts w:hint="default" w:ascii="Times New Roman" w:hAnsi="Times New Roman" w:cs="Times New Roman"/>
          <w:b w:val="0"/>
          <w:bCs w:val="0"/>
          <w:color w:val="auto"/>
        </w:rPr>
      </w:pPr>
      <w:bookmarkStart w:id="2" w:name="_Toc194476126"/>
      <w:bookmarkStart w:id="3" w:name="_Toc13204"/>
      <w:bookmarkStart w:id="4" w:name="_Toc14489"/>
      <w:bookmarkStart w:id="5" w:name="_Toc28727"/>
      <w:bookmarkStart w:id="6" w:name="_Toc2508"/>
      <w:bookmarkStart w:id="7" w:name="_Toc147668052"/>
      <w:bookmarkStart w:id="8" w:name="_Toc26119"/>
      <w:r>
        <w:rPr>
          <w:rFonts w:hint="default" w:ascii="Times New Roman" w:hAnsi="Times New Roman" w:cs="Times New Roman"/>
          <w:b w:val="0"/>
          <w:bCs w:val="0"/>
          <w:color w:val="auto"/>
        </w:rPr>
        <w:t>前  言</w:t>
      </w:r>
      <w:bookmarkEnd w:id="2"/>
      <w:bookmarkEnd w:id="3"/>
      <w:bookmarkEnd w:id="4"/>
    </w:p>
    <w:p w14:paraId="1BAB5AFA">
      <w:pPr>
        <w:ind w:firstLine="640"/>
        <w:jc w:val="both"/>
        <w:rPr>
          <w:rFonts w:hint="default" w:ascii="Times New Roman" w:hAnsi="Times New Roman" w:cs="Times New Roman"/>
          <w:color w:val="auto"/>
        </w:rPr>
      </w:pPr>
      <w:r>
        <w:rPr>
          <w:rFonts w:hint="default" w:ascii="Times New Roman" w:hAnsi="Times New Roman" w:cs="Times New Roman"/>
          <w:color w:val="auto"/>
        </w:rPr>
        <w:t>生物多样性是生物（动物、植物、微生物）与环境形成的生态复合体以及与此相关的各种生态过程的总和，包括生态系统、物种和基因三个层次。生物多样性是人类赖以生存的条件，是全球可持续发展的战略资源，是生态安全和粮食安全的保障，保护和可持续利用生物多样性关乎全人类的福祉。</w:t>
      </w:r>
    </w:p>
    <w:p w14:paraId="28998E0A">
      <w:pPr>
        <w:ind w:firstLine="640"/>
        <w:jc w:val="both"/>
        <w:rPr>
          <w:rFonts w:hint="default" w:ascii="Times New Roman" w:hAnsi="Times New Roman" w:cs="Times New Roman"/>
          <w:color w:val="auto"/>
        </w:rPr>
      </w:pPr>
      <w:r>
        <w:rPr>
          <w:rFonts w:hint="default" w:ascii="Times New Roman" w:hAnsi="Times New Roman" w:cs="Times New Roman"/>
          <w:color w:val="auto"/>
        </w:rPr>
        <w:t>习近平总书记高度重视生物多样性，多次作出重要指示批示。2020年9月，习近平总书记在联合国生物多样性峰会重要讲话中指出“生物多样性既是可持续发展基础，也是目标和手段”。2021年10月，习近平总书记在联合国《生物多样性公约》第十五次缔约方大会发表的重要讲话也明确提出“把生态优势转化为发展优势，使绿水青山产生巨大效益”。2022年11月，习近平总书记在</w:t>
      </w:r>
      <w:bookmarkStart w:id="9" w:name="OLE_LINK4"/>
      <w:r>
        <w:rPr>
          <w:rFonts w:hint="default" w:ascii="Times New Roman" w:hAnsi="Times New Roman" w:cs="Times New Roman"/>
          <w:color w:val="auto"/>
        </w:rPr>
        <w:t>《湿地公约》第十四届缔约方大会开幕式</w:t>
      </w:r>
      <w:bookmarkEnd w:id="9"/>
      <w:r>
        <w:rPr>
          <w:rFonts w:hint="default" w:ascii="Times New Roman" w:hAnsi="Times New Roman" w:cs="Times New Roman"/>
          <w:color w:val="auto"/>
        </w:rPr>
        <w:t>致辞中作出了“中国有很多城市像武汉一样，同湿地融为一体，生态宜居”的重要肯定。</w:t>
      </w:r>
    </w:p>
    <w:p w14:paraId="5BEAE8CB">
      <w:pPr>
        <w:ind w:firstLine="640"/>
        <w:jc w:val="both"/>
        <w:rPr>
          <w:rFonts w:hint="default" w:ascii="Times New Roman" w:hAnsi="Times New Roman" w:cs="Times New Roman"/>
          <w:color w:val="auto"/>
        </w:rPr>
      </w:pPr>
      <w:r>
        <w:rPr>
          <w:rFonts w:hint="default" w:ascii="Times New Roman" w:hAnsi="Times New Roman" w:cs="Times New Roman"/>
          <w:color w:val="auto"/>
        </w:rPr>
        <w:t>党中央、国务院对生物多样性保护作出重要部署。党的十八大把生态文明建设纳入中国特色社会主义事业五位一体总体布局，党的十九大对构建生物多样性保护网络</w:t>
      </w:r>
      <w:r>
        <w:rPr>
          <w:rFonts w:hint="default" w:ascii="Times New Roman" w:hAnsi="Times New Roman" w:cs="Times New Roman"/>
          <w:color w:val="auto"/>
          <w:lang w:eastAsia="zh-CN"/>
        </w:rPr>
        <w:t>作出</w:t>
      </w:r>
      <w:r>
        <w:rPr>
          <w:rFonts w:hint="default" w:ascii="Times New Roman" w:hAnsi="Times New Roman" w:cs="Times New Roman"/>
          <w:color w:val="auto"/>
        </w:rPr>
        <w:t>了战略部署，党的二十大对生物多样性保护工作提出了明确任务。建立了国务院加强生物多样性保护工作协调机制，印发《关于进一步加强生物多样性保护的意见》，发布《中国生物多样性保护战略与行动计划（2023-2030年）》，实施生物多样性保护重大工程，初步建立生物多样性监测网络，全国生物多样性保护工作取得积极成效。</w:t>
      </w:r>
    </w:p>
    <w:p w14:paraId="7F60BA6C">
      <w:pPr>
        <w:pStyle w:val="33"/>
        <w:ind w:firstLine="640" w:firstLineChars="200"/>
        <w:rPr>
          <w:rFonts w:hint="default" w:ascii="Times New Roman" w:hAnsi="Times New Roman" w:cs="Times New Roman"/>
          <w:color w:val="auto"/>
        </w:rPr>
      </w:pPr>
      <w:r>
        <w:rPr>
          <w:rFonts w:hint="default" w:ascii="Times New Roman" w:hAnsi="Times New Roman" w:cs="Times New Roman"/>
          <w:color w:val="auto"/>
        </w:rPr>
        <w:t>武汉市高度重视生态文明建设和生物多样性保护工作，全面贯彻落实习近平总书记考察湖北重要讲话精神，认真落实湖北省委、省政府全面推进美丽湖北建设、实施“七大战略”、整体提升“七个能力”、“</w:t>
      </w:r>
      <w:bookmarkStart w:id="10" w:name="OLE_LINK3"/>
      <w:bookmarkStart w:id="11" w:name="OLE_LINK2"/>
      <w:r>
        <w:rPr>
          <w:rFonts w:hint="default" w:ascii="Times New Roman" w:hAnsi="Times New Roman" w:cs="Times New Roman"/>
          <w:color w:val="auto"/>
        </w:rPr>
        <w:t>加快建成中部地区崛起重要战略支点</w:t>
      </w:r>
      <w:bookmarkEnd w:id="10"/>
      <w:bookmarkEnd w:id="11"/>
      <w:r>
        <w:rPr>
          <w:rFonts w:hint="default" w:ascii="Times New Roman" w:hAnsi="Times New Roman" w:cs="Times New Roman"/>
          <w:color w:val="auto"/>
        </w:rPr>
        <w:t>”的系统部署，加快推动“三个优势转化”，重塑新时代武汉之“重”。近年来，武汉市先后组织开展了府河、涨渡湖、沉湖等湿地类型自然保护地，以及蔡甸区、黄陂区、新洲区等区域的生物多样性本底调查工作，陆续建设了一批生物多样性科普教育基地，积极开展生物多样性宣传活动，提高公众生物多样性保护参与度。</w:t>
      </w:r>
    </w:p>
    <w:p w14:paraId="0F102FF2">
      <w:pPr>
        <w:ind w:firstLine="640"/>
        <w:jc w:val="both"/>
        <w:rPr>
          <w:rFonts w:hint="default" w:ascii="Times New Roman" w:hAnsi="Times New Roman" w:cs="Times New Roman"/>
          <w:color w:val="auto"/>
        </w:rPr>
        <w:sectPr>
          <w:footerReference r:id="rId13" w:type="default"/>
          <w:pgSz w:w="11906" w:h="16838"/>
          <w:pgMar w:top="1440" w:right="1800" w:bottom="1440" w:left="1800" w:header="851" w:footer="992" w:gutter="0"/>
          <w:pgNumType w:fmt="numberInDash" w:start="1"/>
          <w:cols w:space="425" w:num="1"/>
          <w:docGrid w:type="lines" w:linePitch="312" w:charSpace="0"/>
        </w:sectPr>
      </w:pPr>
      <w:r>
        <w:rPr>
          <w:rFonts w:hint="default" w:ascii="Times New Roman" w:hAnsi="Times New Roman" w:cs="Times New Roman"/>
          <w:color w:val="auto"/>
        </w:rPr>
        <w:t>为进一步增强生物多样性保护能力，采取切实行动保护生物多样性，推动实现“人与自然和谐</w:t>
      </w:r>
      <w:r>
        <w:rPr>
          <w:rFonts w:hint="default" w:ascii="Times New Roman" w:hAnsi="Times New Roman" w:cs="Times New Roman"/>
          <w:color w:val="auto"/>
          <w:lang w:eastAsia="zh-CN"/>
        </w:rPr>
        <w:t>共生</w:t>
      </w:r>
      <w:r>
        <w:rPr>
          <w:rFonts w:hint="default" w:ascii="Times New Roman" w:hAnsi="Times New Roman" w:cs="Times New Roman"/>
          <w:color w:val="auto"/>
        </w:rPr>
        <w:t>”的伟大愿景，建设高度发达的生态文明，武汉市生态环境局组织编制《武汉市生物多样性保护规划（2025-2035年）》。本规划明确了全市生物多样性保护的指导思想、原则、目标和主要任务，划定了保护优先区域，提出优先领域和优先行动，规划了近期优先项目和重大工程，为指导全市生物多样性保护工作提供了时间表和路线图。</w:t>
      </w:r>
    </w:p>
    <w:bookmarkEnd w:id="5"/>
    <w:bookmarkEnd w:id="6"/>
    <w:bookmarkEnd w:id="7"/>
    <w:bookmarkEnd w:id="8"/>
    <w:p w14:paraId="53BB1C9C">
      <w:pPr>
        <w:pStyle w:val="5"/>
        <w:spacing w:before="312" w:after="312"/>
        <w:rPr>
          <w:rFonts w:hint="default" w:ascii="Times New Roman" w:hAnsi="Times New Roman" w:cs="Times New Roman"/>
          <w:b w:val="0"/>
          <w:bCs w:val="0"/>
          <w:color w:val="auto"/>
        </w:rPr>
      </w:pPr>
      <w:bookmarkStart w:id="12" w:name="_Toc194476127"/>
      <w:bookmarkStart w:id="13" w:name="_Toc20987"/>
      <w:bookmarkStart w:id="14" w:name="_Toc28545"/>
      <w:bookmarkStart w:id="15" w:name="_Toc11369"/>
      <w:r>
        <w:rPr>
          <w:rFonts w:hint="default" w:ascii="Times New Roman" w:hAnsi="Times New Roman" w:cs="Times New Roman"/>
          <w:b w:val="0"/>
          <w:bCs w:val="0"/>
          <w:color w:val="auto"/>
        </w:rPr>
        <w:t>第一章  武汉市生物多样性状况</w:t>
      </w:r>
      <w:bookmarkEnd w:id="12"/>
      <w:bookmarkEnd w:id="13"/>
      <w:bookmarkEnd w:id="14"/>
    </w:p>
    <w:p w14:paraId="7801733B">
      <w:pPr>
        <w:pStyle w:val="6"/>
        <w:ind w:firstLine="640"/>
        <w:jc w:val="both"/>
        <w:rPr>
          <w:rFonts w:hint="default" w:ascii="Times New Roman" w:hAnsi="Times New Roman" w:cs="Times New Roman"/>
          <w:b w:val="0"/>
          <w:bCs w:val="0"/>
          <w:color w:val="auto"/>
        </w:rPr>
      </w:pPr>
      <w:bookmarkStart w:id="16" w:name="_Toc23332"/>
      <w:bookmarkStart w:id="17" w:name="_Toc22804"/>
      <w:bookmarkStart w:id="18" w:name="_Toc194476128"/>
      <w:r>
        <w:rPr>
          <w:rFonts w:hint="default" w:ascii="Times New Roman" w:hAnsi="Times New Roman" w:cs="Times New Roman"/>
          <w:b w:val="0"/>
          <w:bCs w:val="0"/>
          <w:color w:val="auto"/>
        </w:rPr>
        <w:t>（一）自然地理概况</w:t>
      </w:r>
      <w:bookmarkEnd w:id="15"/>
      <w:bookmarkEnd w:id="16"/>
      <w:bookmarkEnd w:id="17"/>
      <w:bookmarkEnd w:id="18"/>
    </w:p>
    <w:p w14:paraId="3B74FF9F">
      <w:pPr>
        <w:ind w:firstLine="640"/>
        <w:jc w:val="both"/>
        <w:rPr>
          <w:rFonts w:hint="default" w:ascii="Times New Roman" w:hAnsi="Times New Roman" w:cs="Times New Roman"/>
          <w:color w:val="auto"/>
        </w:rPr>
      </w:pPr>
      <w:r>
        <w:rPr>
          <w:rFonts w:hint="default" w:ascii="Times New Roman" w:hAnsi="Times New Roman" w:cs="Times New Roman"/>
          <w:color w:val="auto"/>
        </w:rPr>
        <w:t>武汉，别称“江城”，位于中国腹地中心、湖北省东部、长江与汉水交汇处，地理位置为东经113°41′-115°05′、北纬29°58′-31°22′，东西最大横距约134千米，南北最大纵距约155千米。武汉市共辖有16个行政区（功能区），分别是：江岸区、江汉区、</w:t>
      </w:r>
      <w:r>
        <w:rPr>
          <w:rFonts w:hint="default" w:ascii="Times New Roman" w:hAnsi="Times New Roman" w:eastAsia="仿宋" w:cs="Times New Roman"/>
          <w:color w:val="auto"/>
        </w:rPr>
        <w:t>硚</w:t>
      </w:r>
      <w:r>
        <w:rPr>
          <w:rFonts w:hint="default" w:ascii="Times New Roman" w:hAnsi="Times New Roman" w:cs="Times New Roman"/>
          <w:color w:val="auto"/>
        </w:rPr>
        <w:t>口区、汉阳区、武昌区、青山区、洪山区、蔡甸区、江夏区、黄陂区、新洲区、</w:t>
      </w:r>
      <w:bookmarkStart w:id="19" w:name="OLE_LINK14"/>
      <w:bookmarkStart w:id="20" w:name="OLE_LINK13"/>
      <w:r>
        <w:rPr>
          <w:rFonts w:hint="default" w:ascii="Times New Roman" w:hAnsi="Times New Roman" w:cs="Times New Roman"/>
          <w:color w:val="auto"/>
        </w:rPr>
        <w:t>武汉经济技术开发区</w:t>
      </w:r>
      <w:bookmarkEnd w:id="19"/>
      <w:bookmarkEnd w:id="20"/>
      <w:r>
        <w:rPr>
          <w:rFonts w:hint="default" w:ascii="Times New Roman" w:hAnsi="Times New Roman" w:cs="Times New Roman"/>
          <w:color w:val="auto"/>
        </w:rPr>
        <w:t>（简称武汉经开区）、东湖新技术开发区（简称东湖高新区）、长江新区、武汉临空港经济技术开发区（简称东西湖区）、东湖生态旅游风景区（</w:t>
      </w:r>
      <w:r>
        <w:rPr>
          <w:rFonts w:hint="default" w:ascii="Times New Roman" w:hAnsi="Times New Roman" w:cs="Times New Roman"/>
          <w:color w:val="auto"/>
          <w:lang w:eastAsia="zh-CN"/>
        </w:rPr>
        <w:t>简称</w:t>
      </w:r>
      <w:r>
        <w:rPr>
          <w:rFonts w:hint="default" w:ascii="Times New Roman" w:hAnsi="Times New Roman" w:cs="Times New Roman"/>
          <w:color w:val="auto"/>
        </w:rPr>
        <w:t>东湖风景区）。</w:t>
      </w:r>
    </w:p>
    <w:p w14:paraId="51C504E9">
      <w:pPr>
        <w:pStyle w:val="3"/>
        <w:ind w:firstLine="640"/>
        <w:rPr>
          <w:rFonts w:hint="default" w:ascii="Times New Roman" w:hAnsi="Times New Roman" w:cs="Times New Roman"/>
          <w:color w:val="auto"/>
        </w:rPr>
      </w:pPr>
      <w:r>
        <w:rPr>
          <w:rFonts w:hint="default" w:ascii="Times New Roman" w:hAnsi="Times New Roman" w:cs="Times New Roman"/>
          <w:color w:val="auto"/>
        </w:rPr>
        <w:t>武汉市地貌属鄂东南丘陵经江汉平原东缘向大别山南麓低山丘陵过渡地区，北部以云雾山、木兰山、将军山等山体为特色，南部以梁子湖、鲁湖-斧头湖、沉湖等湖泊湿地为特色，呈现“北峰、中原、南泽”总体地形地貌特征。全市低山、丘陵、垄岗平原与平坦平原的面积分别占土地总面积的5.8%、12.3%、42.6%和39.3%，海拔高度在19.2米至873.7米之间。</w:t>
      </w:r>
    </w:p>
    <w:p w14:paraId="2EA13BE0">
      <w:pPr>
        <w:ind w:firstLine="640"/>
        <w:jc w:val="both"/>
        <w:rPr>
          <w:rFonts w:hint="default" w:ascii="Times New Roman" w:hAnsi="Times New Roman" w:cs="Times New Roman"/>
          <w:color w:val="auto"/>
        </w:rPr>
      </w:pPr>
      <w:r>
        <w:rPr>
          <w:rFonts w:hint="default" w:ascii="Times New Roman" w:hAnsi="Times New Roman" w:cs="Times New Roman"/>
          <w:color w:val="auto"/>
        </w:rPr>
        <w:t>武汉市属北亚热带季风性（湿润）气候，具有常年雨量丰沛、热量充足、雨热同季、光热同季、冬冷夏热、四季分明等特点。武汉年平均气温15.8</w:t>
      </w:r>
      <w:r>
        <w:rPr>
          <w:rFonts w:hint="default" w:ascii="Times New Roman" w:hAnsi="Times New Roman" w:eastAsia="宋体" w:cs="Times New Roman"/>
          <w:color w:val="auto"/>
        </w:rPr>
        <w:t>℃</w:t>
      </w:r>
      <w:r>
        <w:rPr>
          <w:rFonts w:hint="default" w:ascii="Times New Roman" w:hAnsi="Times New Roman" w:cs="Times New Roman"/>
          <w:color w:val="auto"/>
        </w:rPr>
        <w:t>-17.5</w:t>
      </w:r>
      <w:r>
        <w:rPr>
          <w:rFonts w:hint="default" w:ascii="Times New Roman" w:hAnsi="Times New Roman" w:eastAsia="宋体" w:cs="Times New Roman"/>
          <w:color w:val="auto"/>
        </w:rPr>
        <w:t>℃</w:t>
      </w:r>
      <w:r>
        <w:rPr>
          <w:rFonts w:hint="default" w:ascii="Times New Roman" w:hAnsi="Times New Roman" w:cs="Times New Roman"/>
          <w:color w:val="auto"/>
        </w:rPr>
        <w:t>，极端最高气温41.3</w:t>
      </w:r>
      <w:r>
        <w:rPr>
          <w:rFonts w:hint="default" w:ascii="Times New Roman" w:hAnsi="Times New Roman" w:eastAsia="宋体" w:cs="Times New Roman"/>
          <w:color w:val="auto"/>
        </w:rPr>
        <w:t>℃</w:t>
      </w:r>
      <w:r>
        <w:rPr>
          <w:rFonts w:hint="default" w:ascii="Times New Roman" w:hAnsi="Times New Roman" w:cs="Times New Roman"/>
          <w:color w:val="auto"/>
        </w:rPr>
        <w:t>（1934年8月10日），极端最低气温为-18.1</w:t>
      </w:r>
      <w:r>
        <w:rPr>
          <w:rFonts w:hint="default" w:ascii="Times New Roman" w:hAnsi="Times New Roman" w:eastAsia="宋体" w:cs="Times New Roman"/>
          <w:color w:val="auto"/>
        </w:rPr>
        <w:t>℃</w:t>
      </w:r>
      <w:r>
        <w:rPr>
          <w:rFonts w:hint="default" w:ascii="Times New Roman" w:hAnsi="Times New Roman" w:cs="Times New Roman"/>
          <w:color w:val="auto"/>
        </w:rPr>
        <w:t>（1977年1月30日）。年无霜期一般为211天-272天，年日照总时数1810小时-2100小时，年总辐射104千卡/平方厘米-113千卡/平方厘米，年降水量1150毫米-1450毫米，降雨集中在每年6月-8月，约占全年降雨量的40%左右。</w:t>
      </w:r>
    </w:p>
    <w:p w14:paraId="19483C23">
      <w:pPr>
        <w:ind w:firstLine="640"/>
        <w:jc w:val="both"/>
        <w:rPr>
          <w:rFonts w:hint="default" w:ascii="Times New Roman" w:hAnsi="Times New Roman" w:cs="Times New Roman"/>
          <w:color w:val="auto"/>
        </w:rPr>
      </w:pPr>
      <w:r>
        <w:rPr>
          <w:rFonts w:hint="default" w:ascii="Times New Roman" w:hAnsi="Times New Roman" w:cs="Times New Roman"/>
          <w:color w:val="auto"/>
        </w:rPr>
        <w:t>武汉市地处古云梦泽故地，素有“百湖之市”的美誉，江河纵横，湖库密布，长江、汉江在境内交汇，东荆河、通顺河、金水河、府</w:t>
      </w:r>
      <w:r>
        <w:rPr>
          <w:rFonts w:hint="default" w:ascii="Times New Roman" w:hAnsi="Times New Roman" w:eastAsia="仿宋" w:cs="Times New Roman"/>
          <w:color w:val="auto"/>
        </w:rPr>
        <w:t>澴</w:t>
      </w:r>
      <w:r>
        <w:rPr>
          <w:rFonts w:hint="default" w:ascii="Times New Roman" w:hAnsi="Times New Roman" w:cs="Times New Roman"/>
          <w:color w:val="auto"/>
        </w:rPr>
        <w:t>河、滠水、倒水、举水、汉北河等连江支流汇入长江，5千米以上的河流共有165条。列入湖泊保护名录的湖泊有166个，其中城区内有湖泊40个，包含国内最大的城中湖—</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"https://baike.baidu.com/item/%E6%B1%A4%E9%80%8A%E6%B9%96/5720550?fromModule=lemma_inlink" \t "_blank" </w:instrText>
      </w:r>
      <w:r>
        <w:rPr>
          <w:rFonts w:hint="default" w:ascii="Times New Roman" w:hAnsi="Times New Roman" w:cs="Times New Roman"/>
          <w:color w:val="auto"/>
        </w:rPr>
        <w:fldChar w:fldCharType="separate"/>
      </w:r>
      <w:r>
        <w:rPr>
          <w:rFonts w:hint="default" w:ascii="Times New Roman" w:hAnsi="Times New Roman" w:cs="Times New Roman"/>
          <w:color w:val="auto"/>
        </w:rPr>
        <w:t>汤逊湖</w:t>
      </w:r>
      <w:r>
        <w:rPr>
          <w:rFonts w:hint="default" w:ascii="Times New Roman" w:hAnsi="Times New Roman" w:cs="Times New Roman"/>
          <w:color w:val="auto"/>
        </w:rPr>
        <w:fldChar w:fldCharType="end"/>
      </w:r>
      <w:r>
        <w:rPr>
          <w:rFonts w:hint="default" w:ascii="Times New Roman" w:hAnsi="Times New Roman" w:cs="Times New Roman"/>
          <w:color w:val="auto"/>
        </w:rPr>
        <w:t>（面积达47.6平方千米）。水域总面积达2117.6平方千米。</w:t>
      </w:r>
    </w:p>
    <w:p w14:paraId="5F36350E">
      <w:pPr>
        <w:pStyle w:val="6"/>
        <w:ind w:firstLine="640"/>
        <w:jc w:val="both"/>
        <w:rPr>
          <w:rFonts w:hint="default" w:ascii="Times New Roman" w:hAnsi="Times New Roman" w:cs="Times New Roman"/>
          <w:b w:val="0"/>
          <w:bCs w:val="0"/>
          <w:color w:val="auto"/>
        </w:rPr>
      </w:pPr>
      <w:bookmarkStart w:id="21" w:name="_Toc9983"/>
      <w:bookmarkStart w:id="22" w:name="_Toc13158"/>
      <w:bookmarkStart w:id="23" w:name="_Toc194476129"/>
      <w:bookmarkStart w:id="24" w:name="_Toc15774"/>
      <w:r>
        <w:rPr>
          <w:rFonts w:hint="default" w:ascii="Times New Roman" w:hAnsi="Times New Roman" w:cs="Times New Roman"/>
          <w:b w:val="0"/>
          <w:bCs w:val="0"/>
          <w:color w:val="auto"/>
        </w:rPr>
        <w:t>（二）社会经济概况</w:t>
      </w:r>
      <w:bookmarkEnd w:id="21"/>
      <w:bookmarkEnd w:id="22"/>
      <w:bookmarkEnd w:id="23"/>
      <w:bookmarkEnd w:id="24"/>
    </w:p>
    <w:p w14:paraId="63A7C666">
      <w:pPr>
        <w:ind w:firstLine="640"/>
        <w:jc w:val="both"/>
        <w:rPr>
          <w:rFonts w:hint="default" w:ascii="Times New Roman" w:hAnsi="Times New Roman" w:cs="Times New Roman"/>
          <w:color w:val="auto"/>
        </w:rPr>
      </w:pPr>
      <w:r>
        <w:rPr>
          <w:rFonts w:hint="default" w:ascii="Times New Roman" w:hAnsi="Times New Roman" w:cs="Times New Roman"/>
          <w:color w:val="auto"/>
        </w:rPr>
        <w:t>2024年末，全市户籍人口956.94万人，常住人口1380.91万人，常住人口城镇化率为85.0%。</w:t>
      </w:r>
    </w:p>
    <w:p w14:paraId="0A1C4F44">
      <w:pPr>
        <w:ind w:firstLine="640"/>
        <w:jc w:val="both"/>
        <w:rPr>
          <w:rFonts w:hint="default" w:ascii="Times New Roman" w:hAnsi="Times New Roman" w:cs="Times New Roman"/>
          <w:color w:val="auto"/>
        </w:rPr>
      </w:pPr>
      <w:r>
        <w:rPr>
          <w:rFonts w:hint="default" w:ascii="Times New Roman" w:hAnsi="Times New Roman" w:cs="Times New Roman"/>
          <w:color w:val="auto"/>
        </w:rPr>
        <w:t>2024年，全市实现地区生产总值（GDP）21106.23亿元，全市产业质态全面优化提升，一、二、三产比例为2.4∶31.2∶66.4。高新技术企业达1.65万家，全年高新技术产业增加值6414.42亿元，占GDP比重为30.4%。共有科技研究机构99个，全国重点实验室41个，拥有中国科学院院士36人，中国工程院院士45人。年末共有A级旅游景区62个，其中5A级景区3个。</w:t>
      </w:r>
    </w:p>
    <w:p w14:paraId="4F0DDD80">
      <w:pPr>
        <w:pStyle w:val="6"/>
        <w:ind w:firstLine="640"/>
        <w:jc w:val="both"/>
        <w:rPr>
          <w:rFonts w:hint="default" w:ascii="Times New Roman" w:hAnsi="Times New Roman" w:cs="Times New Roman"/>
          <w:b w:val="0"/>
          <w:bCs w:val="0"/>
          <w:color w:val="auto"/>
        </w:rPr>
      </w:pPr>
      <w:bookmarkStart w:id="25" w:name="_Toc194476130"/>
      <w:r>
        <w:rPr>
          <w:rFonts w:hint="default" w:ascii="Times New Roman" w:hAnsi="Times New Roman" w:cs="Times New Roman"/>
          <w:b w:val="0"/>
          <w:bCs w:val="0"/>
          <w:color w:val="auto"/>
        </w:rPr>
        <w:t>（三）生物多样性概况</w:t>
      </w:r>
      <w:bookmarkEnd w:id="25"/>
    </w:p>
    <w:p w14:paraId="132800EC">
      <w:pPr>
        <w:ind w:firstLine="640"/>
        <w:jc w:val="both"/>
        <w:rPr>
          <w:rFonts w:hint="default" w:ascii="Times New Roman" w:hAnsi="Times New Roman" w:cs="Times New Roman"/>
          <w:color w:val="auto"/>
        </w:rPr>
      </w:pPr>
      <w:r>
        <w:rPr>
          <w:rFonts w:hint="default" w:ascii="Times New Roman" w:hAnsi="Times New Roman" w:cs="Times New Roman"/>
          <w:color w:val="auto"/>
        </w:rPr>
        <w:t>武汉市自然禀赋得天独厚，山水林田各异其趣，形成了“一城江水半城山”的独特山水格局，也孕育了丰富而又独特的生态系统、物种和遗传多样性。</w:t>
      </w:r>
    </w:p>
    <w:p w14:paraId="533459E3">
      <w:pPr>
        <w:ind w:firstLine="640"/>
        <w:jc w:val="both"/>
        <w:rPr>
          <w:rFonts w:hint="default" w:ascii="Times New Roman" w:hAnsi="Times New Roman" w:cs="Times New Roman"/>
          <w:color w:val="auto"/>
        </w:rPr>
      </w:pPr>
      <w:r>
        <w:rPr>
          <w:rFonts w:hint="default" w:ascii="Times New Roman" w:hAnsi="Times New Roman" w:cs="Times New Roman"/>
          <w:color w:val="auto"/>
        </w:rPr>
        <w:t>生态系统多样性。武汉市Ⅰ级生态系统类型有7类，包括森林、灌丛、草地、湿地、农田、人工表面（建设用地、交通用地）和其他（裸地、采矿场）。其中，湿地是武汉市最为典型的生态系统，现有湿地总面积22.78万公顷（不含养殖坑塘），占国土面积的26.58%，位于全国前列。湿地资源类型多样，含内陆滩涂、沼泽地、河流水面、湖泊水面、水库水面、坑塘水面、沟渠等7个二级地类。此外，武汉市具有典型的城镇化地区生态系统特征，以城镇建成区、耕地等为代表的人工生态系统占比约61%；以森林、灌丛、湿地等为代表的自然生态系统占比约39%。</w:t>
      </w:r>
    </w:p>
    <w:p w14:paraId="45158376">
      <w:pPr>
        <w:ind w:firstLine="640"/>
        <w:jc w:val="both"/>
        <w:rPr>
          <w:rFonts w:hint="default" w:ascii="Times New Roman" w:hAnsi="Times New Roman" w:cs="Times New Roman"/>
          <w:color w:val="auto"/>
        </w:rPr>
      </w:pPr>
      <w:r>
        <w:rPr>
          <w:rFonts w:hint="default" w:ascii="Times New Roman" w:hAnsi="Times New Roman" w:cs="Times New Roman"/>
          <w:color w:val="auto"/>
        </w:rPr>
        <w:t>物种多样性。武汉市动植物资源丰富，据不完全统计</w:t>
      </w:r>
      <w:r>
        <w:rPr>
          <w:rStyle w:val="32"/>
          <w:rFonts w:hint="default" w:ascii="Times New Roman" w:hAnsi="Times New Roman" w:cs="Times New Roman"/>
          <w:color w:val="auto"/>
        </w:rPr>
        <w:footnoteReference w:id="0"/>
      </w:r>
      <w:r>
        <w:rPr>
          <w:rFonts w:hint="default" w:ascii="Times New Roman" w:hAnsi="Times New Roman" w:cs="Times New Roman"/>
          <w:color w:val="auto"/>
        </w:rPr>
        <w:t>，已观察记录到蕨类和种子植物106科607属1066种，包含狭叶重楼、龙舌草、粗梗水蕨等国家重点保护野生植物；脊椎动物644种，其中哺乳类35种、鸟类472种、爬行类34种、两栖类15种、鱼类88种，包含国家重点保护野生动物110种，包括青头潜鸭、东方白鹳、黑鹳、长江江豚、水獭、河麂等具有全球保护意义的物种，及黄缘闭壳龟、虎纹蛙、中华鲟、胭脂鱼等国家重点保护野生动物；另有昆虫340种。</w:t>
      </w:r>
    </w:p>
    <w:p w14:paraId="1FC34227">
      <w:pPr>
        <w:ind w:firstLine="640"/>
        <w:jc w:val="both"/>
        <w:rPr>
          <w:rFonts w:hint="default" w:ascii="Times New Roman" w:hAnsi="Times New Roman" w:cs="Times New Roman"/>
          <w:color w:val="auto"/>
        </w:rPr>
      </w:pPr>
      <w:r>
        <w:rPr>
          <w:rFonts w:hint="default" w:ascii="Times New Roman" w:hAnsi="Times New Roman" w:cs="Times New Roman"/>
          <w:color w:val="auto"/>
        </w:rPr>
        <w:t>遗传多样性。武汉市畜禽、水产渔类、药用资源丰富。畜禽动物主要有猪、牛、鸡等20余种、50多个品种。主要经济鱼类有草鱼、青鱼、鲢等20余种</w:t>
      </w:r>
      <w:r>
        <w:rPr>
          <w:rStyle w:val="32"/>
          <w:rFonts w:hint="default" w:ascii="Times New Roman" w:hAnsi="Times New Roman" w:cs="Times New Roman"/>
          <w:color w:val="auto"/>
        </w:rPr>
        <w:footnoteReference w:id="1"/>
      </w:r>
      <w:r>
        <w:rPr>
          <w:rFonts w:hint="default" w:ascii="Times New Roman" w:hAnsi="Times New Roman" w:cs="Times New Roman"/>
          <w:color w:val="auto"/>
        </w:rPr>
        <w:t>。主要中药材品种包含桔梗、金银花、夏枯草和瓜蒌等。武汉市特色农业种质资源丰富，包括水生蔬菜、野生花生、油料作物、猕猴桃、砂梨、鳜、翘嘴</w:t>
      </w:r>
      <w:r>
        <w:rPr>
          <w:rFonts w:hint="default" w:ascii="Times New Roman" w:hAnsi="Times New Roman" w:eastAsia="仿宋" w:cs="Times New Roman"/>
          <w:color w:val="auto"/>
        </w:rPr>
        <w:t>鲌</w:t>
      </w:r>
      <w:r>
        <w:rPr>
          <w:rFonts w:hint="default" w:ascii="Times New Roman" w:hAnsi="Times New Roman" w:cs="Times New Roman"/>
          <w:color w:val="auto"/>
        </w:rPr>
        <w:t>、黄颡鱼、团头鲂等，以及特色林木种质资源。拥有国家油料作物种质资源中期库、国家野生花生种质资源圃、国家水生蔬菜种质资源圃、国家猕猴桃种质资源圃、国家砂梨种质资源圃等5个国家级农作物种质资源库（圃），国家梅花种质资源库、国家樱花种质资源库、国家荚</w:t>
      </w:r>
      <w:r>
        <w:rPr>
          <w:rFonts w:hint="default" w:ascii="Times New Roman" w:hAnsi="Times New Roman" w:eastAsia="仿宋" w:cs="Times New Roman"/>
          <w:color w:val="auto"/>
        </w:rPr>
        <w:t>蒾</w:t>
      </w:r>
      <w:r>
        <w:rPr>
          <w:rFonts w:hint="default" w:ascii="Times New Roman" w:hAnsi="Times New Roman" w:cs="Times New Roman"/>
          <w:color w:val="auto"/>
        </w:rPr>
        <w:t>属种质资源库等3个国家级花卉种质资源库，以及国家水生生物种质资源库等一批国家级种质资源库。</w:t>
      </w:r>
      <w:r>
        <w:rPr>
          <w:rFonts w:hint="default" w:ascii="Times New Roman" w:hAnsi="Times New Roman" w:cs="Times New Roman"/>
          <w:color w:val="auto"/>
        </w:rPr>
        <w:br w:type="page"/>
      </w:r>
    </w:p>
    <w:p w14:paraId="1368DCF9">
      <w:pPr>
        <w:pStyle w:val="5"/>
        <w:spacing w:before="312" w:after="312"/>
        <w:rPr>
          <w:rFonts w:hint="default" w:ascii="Times New Roman" w:hAnsi="Times New Roman" w:cs="Times New Roman"/>
          <w:b w:val="0"/>
          <w:bCs w:val="0"/>
          <w:color w:val="auto"/>
        </w:rPr>
      </w:pPr>
      <w:bookmarkStart w:id="26" w:name="_Toc31102"/>
      <w:bookmarkStart w:id="27" w:name="_Toc28668"/>
      <w:bookmarkStart w:id="28" w:name="_Toc194476131"/>
      <w:r>
        <w:rPr>
          <w:rFonts w:hint="default" w:ascii="Times New Roman" w:hAnsi="Times New Roman" w:cs="Times New Roman"/>
          <w:b w:val="0"/>
          <w:bCs w:val="0"/>
          <w:color w:val="auto"/>
        </w:rPr>
        <w:t xml:space="preserve">第二章  </w:t>
      </w:r>
      <w:bookmarkStart w:id="29" w:name="_Toc7806"/>
      <w:bookmarkStart w:id="30" w:name="_Toc29392"/>
      <w:bookmarkStart w:id="31" w:name="_Toc147668069"/>
      <w:bookmarkStart w:id="32" w:name="_Toc12241"/>
      <w:r>
        <w:rPr>
          <w:rFonts w:hint="default" w:ascii="Times New Roman" w:hAnsi="Times New Roman" w:cs="Times New Roman"/>
          <w:b w:val="0"/>
          <w:bCs w:val="0"/>
          <w:color w:val="auto"/>
        </w:rPr>
        <w:t>生物多样性保护成就与</w:t>
      </w:r>
      <w:bookmarkEnd w:id="26"/>
      <w:bookmarkEnd w:id="27"/>
      <w:bookmarkEnd w:id="29"/>
      <w:bookmarkEnd w:id="30"/>
      <w:bookmarkEnd w:id="31"/>
      <w:bookmarkEnd w:id="32"/>
      <w:r>
        <w:rPr>
          <w:rFonts w:hint="default" w:ascii="Times New Roman" w:hAnsi="Times New Roman" w:cs="Times New Roman"/>
          <w:b w:val="0"/>
          <w:bCs w:val="0"/>
          <w:color w:val="auto"/>
        </w:rPr>
        <w:t>形势</w:t>
      </w:r>
      <w:bookmarkEnd w:id="28"/>
    </w:p>
    <w:p w14:paraId="170B692B">
      <w:pPr>
        <w:pStyle w:val="6"/>
        <w:ind w:firstLine="640"/>
        <w:jc w:val="both"/>
        <w:rPr>
          <w:rFonts w:hint="default" w:ascii="Times New Roman" w:hAnsi="Times New Roman" w:cs="Times New Roman"/>
          <w:b w:val="0"/>
          <w:bCs w:val="0"/>
          <w:color w:val="auto"/>
        </w:rPr>
      </w:pPr>
      <w:bookmarkStart w:id="33" w:name="_Toc27418"/>
      <w:bookmarkStart w:id="34" w:name="_Toc20757"/>
      <w:bookmarkStart w:id="35" w:name="_Toc25994"/>
      <w:bookmarkStart w:id="36" w:name="_Toc17504"/>
      <w:bookmarkStart w:id="37" w:name="_Toc13494"/>
      <w:bookmarkStart w:id="38" w:name="_Toc147668070"/>
      <w:bookmarkStart w:id="39" w:name="_Toc194476132"/>
      <w:r>
        <w:rPr>
          <w:rFonts w:hint="default" w:ascii="Times New Roman" w:hAnsi="Times New Roman" w:cs="Times New Roman"/>
          <w:b w:val="0"/>
          <w:bCs w:val="0"/>
          <w:color w:val="auto"/>
        </w:rPr>
        <w:t>（一）生物多样性保护</w:t>
      </w:r>
      <w:bookmarkEnd w:id="33"/>
      <w:bookmarkEnd w:id="34"/>
      <w:bookmarkEnd w:id="35"/>
      <w:bookmarkEnd w:id="36"/>
      <w:bookmarkEnd w:id="37"/>
      <w:bookmarkEnd w:id="38"/>
      <w:r>
        <w:rPr>
          <w:rFonts w:hint="default" w:ascii="Times New Roman" w:hAnsi="Times New Roman" w:cs="Times New Roman"/>
          <w:b w:val="0"/>
          <w:bCs w:val="0"/>
          <w:color w:val="auto"/>
        </w:rPr>
        <w:t>成就</w:t>
      </w:r>
      <w:bookmarkEnd w:id="39"/>
    </w:p>
    <w:p w14:paraId="3F9A82FF">
      <w:pPr>
        <w:ind w:firstLine="640"/>
        <w:jc w:val="both"/>
        <w:rPr>
          <w:rFonts w:hint="default" w:ascii="Times New Roman" w:hAnsi="Times New Roman" w:cs="Times New Roman"/>
          <w:color w:val="auto"/>
        </w:rPr>
      </w:pPr>
      <w:r>
        <w:rPr>
          <w:rFonts w:hint="default" w:ascii="Times New Roman" w:hAnsi="Times New Roman" w:cs="Times New Roman"/>
          <w:color w:val="auto"/>
        </w:rPr>
        <w:t>武汉是湖北省省会、中部地区的中心城市、国家历史文化名城、国际性综合交通枢纽城市，核心功能定位是“中部经济中心、科技创新中心、商贸物流中心、对外交往中心以及长江中游航运中心”五个中心。2025年2月13日，国务院发布关于《武汉市国土空间总体规划（2021-2035年）》的批复，重点明确底线管控要求，包括风险管控线、绿地系统线、水体保护线、历史保护线、基础设施建设控制线5条线。</w:t>
      </w:r>
    </w:p>
    <w:p w14:paraId="04222121">
      <w:pPr>
        <w:ind w:firstLine="640"/>
        <w:jc w:val="both"/>
        <w:rPr>
          <w:rFonts w:hint="default" w:ascii="Times New Roman" w:hAnsi="Times New Roman" w:cs="Times New Roman"/>
          <w:color w:val="auto"/>
        </w:rPr>
      </w:pPr>
      <w:r>
        <w:rPr>
          <w:rFonts w:hint="default" w:ascii="Times New Roman" w:hAnsi="Times New Roman" w:cs="Times New Roman"/>
          <w:color w:val="auto"/>
        </w:rPr>
        <w:t>武汉市委、市政府始终将生态环境保护放在突出位置，并将生物多样性保护和可持续利用融入武汉市生态文明建设全过程，在政策法规、就地保护、湿地和湖泊生态保护修复、矿山修复、生物多样性调查监测等方面取得积极进展，走出了一条具有武汉特色的生物多样性保护之路。</w:t>
      </w:r>
    </w:p>
    <w:p w14:paraId="2FDA6BB2">
      <w:pPr>
        <w:ind w:firstLine="640"/>
        <w:jc w:val="both"/>
        <w:rPr>
          <w:rFonts w:hint="default" w:ascii="Times New Roman" w:hAnsi="Times New Roman" w:cs="Times New Roman"/>
          <w:color w:val="auto"/>
        </w:rPr>
      </w:pPr>
      <w:r>
        <w:rPr>
          <w:rFonts w:hint="default" w:ascii="Times New Roman" w:hAnsi="Times New Roman" w:cs="Times New Roman"/>
          <w:color w:val="auto"/>
        </w:rPr>
        <w:t>一是政策法规不断健全。先后出台《中共武汉市委 武汉市人民政府关于加快生态文明体制改革建设生态化大武汉的意见》《武汉市当好龙头走在前列奋力推动加快建设中部地区崛起重要战略支点行动方案》等涉及生态文明建设的重要文件，将生物多样性保护作为生态文明建设的重要内容。《武汉市国民经济和社会发展第十四个五年规划和2035年远景目标纲要》对生物多样性，尤其是水生生物多样性保护工作做了系统部署。在全国副省级城市中率先出台《武汉市湿地自然保护区条例》，制定《武汉市基本生态控制线管理条例》《武汉市湖泊保护条例》《武汉市水资源保护条例》，印发《</w:t>
      </w:r>
      <w:bookmarkStart w:id="40" w:name="OLE_LINK66"/>
      <w:bookmarkStart w:id="41" w:name="OLE_LINK34"/>
      <w:r>
        <w:rPr>
          <w:rFonts w:hint="default" w:ascii="Times New Roman" w:hAnsi="Times New Roman" w:cs="Times New Roman"/>
          <w:color w:val="auto"/>
        </w:rPr>
        <w:t>武汉市湿地自然保护区生态补偿办法</w:t>
      </w:r>
      <w:bookmarkEnd w:id="40"/>
      <w:bookmarkEnd w:id="41"/>
      <w:r>
        <w:rPr>
          <w:rFonts w:hint="default" w:ascii="Times New Roman" w:hAnsi="Times New Roman" w:cs="Times New Roman"/>
          <w:color w:val="auto"/>
        </w:rPr>
        <w:t>》，不断夯实生物多样性保护法治基础。</w:t>
      </w:r>
    </w:p>
    <w:p w14:paraId="1E057D72">
      <w:pPr>
        <w:ind w:firstLine="640"/>
        <w:jc w:val="both"/>
        <w:rPr>
          <w:rFonts w:hint="default" w:ascii="Times New Roman" w:hAnsi="Times New Roman" w:cs="Times New Roman"/>
          <w:color w:val="auto"/>
        </w:rPr>
      </w:pPr>
      <w:r>
        <w:rPr>
          <w:rFonts w:hint="default" w:ascii="Times New Roman" w:hAnsi="Times New Roman" w:cs="Times New Roman"/>
          <w:color w:val="auto"/>
        </w:rPr>
        <w:t>二是生物多样性保护体系持续优化。根据《中共中央办公厅 国务院办公厅关于建立以国家公园为主体的自然保护地体系的指导意见》要求，武汉市组织开展自然保护地整合优化工作，摸清了自然保护地底数，形成了</w:t>
      </w:r>
      <w:bookmarkStart w:id="42" w:name="OLE_LINK1"/>
      <w:bookmarkStart w:id="43" w:name="OLE_LINK5"/>
      <w:r>
        <w:rPr>
          <w:rFonts w:hint="default" w:ascii="Times New Roman" w:hAnsi="Times New Roman" w:cs="Times New Roman"/>
          <w:color w:val="auto"/>
        </w:rPr>
        <w:t>《武汉市自然保护地整合优化方案》</w:t>
      </w:r>
      <w:bookmarkEnd w:id="42"/>
      <w:bookmarkEnd w:id="43"/>
      <w:r>
        <w:rPr>
          <w:rFonts w:hint="default" w:ascii="Times New Roman" w:hAnsi="Times New Roman" w:cs="Times New Roman"/>
          <w:color w:val="auto"/>
        </w:rPr>
        <w:t>，已报送国家</w:t>
      </w:r>
      <w:bookmarkStart w:id="44" w:name="OLE_LINK32"/>
      <w:bookmarkStart w:id="45" w:name="OLE_LINK33"/>
      <w:r>
        <w:rPr>
          <w:rFonts w:hint="default" w:ascii="Times New Roman" w:hAnsi="Times New Roman" w:cs="Times New Roman"/>
          <w:color w:val="auto"/>
        </w:rPr>
        <w:t>林业和草原局</w:t>
      </w:r>
      <w:bookmarkEnd w:id="44"/>
      <w:bookmarkEnd w:id="45"/>
      <w:r>
        <w:rPr>
          <w:rFonts w:hint="default" w:ascii="Times New Roman" w:hAnsi="Times New Roman" w:cs="Times New Roman"/>
          <w:color w:val="auto"/>
        </w:rPr>
        <w:t>。整合优化后，全市共有20个自然保护地</w:t>
      </w:r>
      <w:r>
        <w:rPr>
          <w:rStyle w:val="32"/>
          <w:rFonts w:hint="default" w:ascii="Times New Roman" w:hAnsi="Times New Roman" w:cs="Times New Roman"/>
          <w:color w:val="auto"/>
        </w:rPr>
        <w:footnoteReference w:id="2"/>
      </w:r>
      <w:r>
        <w:rPr>
          <w:rFonts w:hint="default" w:ascii="Times New Roman" w:hAnsi="Times New Roman" w:cs="Times New Roman"/>
          <w:color w:val="auto"/>
        </w:rPr>
        <w:t>，其中自然保护区3个、风景名胜区2个、湿地公园9个、森林公园6个。武汉市强化湿地生态系统保护，整合优化后共有国家级湿地公园4个（安山、后官湖、杜公湖、江夏藏龙岛），地方级湿地公园5个（索子长河、桐湖、草湖、涨渡湖、武湖），是国家湿地公园最多的省会城市，也是世界首个人口破千万的国际湿地城市。2020年首次开展的湿地生态系统服务评估显示，全市湿地生态系统服务价值高达939.75亿元。2022年成功举办《湿地公约》第十四届缔约方大会并通过《武汉宣言》。</w:t>
      </w:r>
    </w:p>
    <w:p w14:paraId="288B5C83">
      <w:pPr>
        <w:ind w:firstLine="640"/>
        <w:jc w:val="both"/>
        <w:rPr>
          <w:rFonts w:hint="default" w:ascii="Times New Roman" w:hAnsi="Times New Roman" w:cs="Times New Roman"/>
          <w:color w:val="auto"/>
        </w:rPr>
      </w:pPr>
      <w:r>
        <w:rPr>
          <w:rFonts w:hint="default" w:ascii="Times New Roman" w:hAnsi="Times New Roman" w:cs="Times New Roman"/>
          <w:color w:val="auto"/>
        </w:rPr>
        <w:t>三是生态保护修复取得重大进展。深入推进长江大保护，全面实施长江“十年禁渔”，江河湖库“三网”养殖设施全部拆除，中心城区湖泊全部退出水产养殖。沿江82家化工企业完成“关改搬转”，清理腾退岸线47千米，复绿岸线788.13万平方米。全面推进长江经济带绿色发展示范区建设。“两江四岸”景观特色明显提升，绿色空间大幅拓展，绿道总里程达2320千米。东湖成功创建全国示范河湖。在全国同类城市中率先建立长江跨区断面水质考核奖惩和生态保护补偿制度。</w:t>
      </w:r>
    </w:p>
    <w:p w14:paraId="376BE7B3">
      <w:pPr>
        <w:pStyle w:val="3"/>
        <w:ind w:firstLine="640"/>
        <w:rPr>
          <w:rFonts w:hint="default" w:ascii="Times New Roman" w:hAnsi="Times New Roman" w:cs="Times New Roman"/>
          <w:color w:val="auto"/>
        </w:rPr>
      </w:pPr>
      <w:r>
        <w:rPr>
          <w:rFonts w:hint="default" w:ascii="Times New Roman" w:hAnsi="Times New Roman" w:cs="Times New Roman"/>
          <w:color w:val="auto"/>
        </w:rPr>
        <w:t>四是生物多样性调查监测工作持续推进。2020年起，武汉市启动湿地生态系统生物多样性调查，陆续开展了府河湿地、涨渡湖湿地、藏龙岛国家湿地公园生物多样性调查工作。根据《关于印发湖北省生物多样性本底调查观测评估试点工作方案的通知》要求，完成了蔡甸区生物多样性本底调查工作。此外，自2016年起，连续8年在全市93个重点区域持续开展鸟类监测工作，发布鸟类监测月报和年报。基于国内先进的自动监测技术，初步建成覆盖全市湿地类自然保护地和野生动物重要栖息地的智慧湿地信息管理平台。</w:t>
      </w:r>
    </w:p>
    <w:p w14:paraId="2ECECAFF">
      <w:pPr>
        <w:ind w:firstLine="640"/>
        <w:jc w:val="both"/>
        <w:rPr>
          <w:rFonts w:hint="default" w:ascii="Times New Roman" w:hAnsi="Times New Roman" w:cs="Times New Roman"/>
          <w:color w:val="auto"/>
        </w:rPr>
      </w:pPr>
      <w:r>
        <w:rPr>
          <w:rFonts w:hint="default" w:ascii="Times New Roman" w:hAnsi="Times New Roman" w:cs="Times New Roman"/>
          <w:color w:val="auto"/>
        </w:rPr>
        <w:t>五是生态文明示范建设成效显著。新洲区、蔡甸区和黄陂区先后成功入选生态环境部生态文明建设示范区。建成国家森林乡村8个、省级森林城镇23个、省级绿色示范村397个，以生态振兴和产业振兴有力推动美丽乡村建设。2021年至2025年，共命名园林示范学校42所、美丽乡村学校24所、绿色生态学校20所，推评花园家庭400个，打造社区绿色驿站425个。创建3所</w:t>
      </w:r>
      <w:bookmarkStart w:id="46" w:name="OLE_LINK92"/>
      <w:r>
        <w:rPr>
          <w:rFonts w:hint="default" w:ascii="Times New Roman" w:hAnsi="Times New Roman" w:cs="Times New Roman"/>
          <w:color w:val="auto"/>
        </w:rPr>
        <w:t>“守护江豚”示范学校</w:t>
      </w:r>
      <w:bookmarkEnd w:id="46"/>
      <w:r>
        <w:rPr>
          <w:rFonts w:hint="default" w:ascii="Times New Roman" w:hAnsi="Times New Roman" w:cs="Times New Roman"/>
          <w:color w:val="auto"/>
        </w:rPr>
        <w:t>。</w:t>
      </w:r>
    </w:p>
    <w:p w14:paraId="4AEA0343">
      <w:pPr>
        <w:ind w:firstLine="640"/>
        <w:jc w:val="both"/>
        <w:rPr>
          <w:rFonts w:hint="default" w:ascii="Times New Roman" w:hAnsi="Times New Roman" w:cs="Times New Roman"/>
          <w:color w:val="auto"/>
        </w:rPr>
      </w:pPr>
      <w:r>
        <w:rPr>
          <w:rFonts w:hint="default" w:ascii="Times New Roman" w:hAnsi="Times New Roman" w:cs="Times New Roman"/>
          <w:color w:val="auto"/>
        </w:rPr>
        <w:t>六是生物多样性全民参与度有效提升。开展“公园大课堂”“植物导师课”“绿色生态研学旅行”“小林长、小园长、小湿地长”等主题活动780余场，吸引200所学校30万中小学生参与。“一步自然、身边课堂”成为“武汉模式”。积极开展“国际生物多样性日”“六五环境日”“全国生态日”等主题宣传活动。中国履行《湿地公约》30周年成就展场馆、中国科学院水生生物博物馆、武汉渔政码头增殖放流基地、东西湖区杜公湖国家湿地公园、蔡甸区桐湖省级湿地公园、新洲区涨渡湖市级湿地自然保护区等被设立为首批6家武汉市生物多样性体验地。建成16个湿地学校，14处宣教场馆，45处湿地宣教点，发动30余个社会组织、20余万志愿者参与湿地保护与科普宣教，成效显著。</w:t>
      </w:r>
    </w:p>
    <w:p w14:paraId="640F7C28">
      <w:pPr>
        <w:pStyle w:val="6"/>
        <w:ind w:firstLine="640"/>
        <w:jc w:val="both"/>
        <w:rPr>
          <w:rFonts w:hint="default" w:ascii="Times New Roman" w:hAnsi="Times New Roman" w:cs="Times New Roman"/>
          <w:b w:val="0"/>
          <w:bCs w:val="0"/>
          <w:color w:val="auto"/>
        </w:rPr>
      </w:pPr>
      <w:bookmarkStart w:id="47" w:name="_Toc12005"/>
      <w:bookmarkStart w:id="48" w:name="_Toc147668071"/>
      <w:bookmarkStart w:id="49" w:name="_Toc20146"/>
      <w:bookmarkStart w:id="50" w:name="_Toc21452"/>
      <w:bookmarkStart w:id="51" w:name="_Toc6434"/>
      <w:bookmarkStart w:id="52" w:name="_Toc9634"/>
      <w:bookmarkStart w:id="53" w:name="_Toc194476133"/>
      <w:r>
        <w:rPr>
          <w:rFonts w:hint="default" w:ascii="Times New Roman" w:hAnsi="Times New Roman" w:cs="Times New Roman"/>
          <w:b w:val="0"/>
          <w:bCs w:val="0"/>
          <w:color w:val="auto"/>
        </w:rPr>
        <w:t>（二）生物多样性保护的机遇与挑战</w:t>
      </w:r>
      <w:bookmarkEnd w:id="47"/>
      <w:bookmarkEnd w:id="48"/>
      <w:bookmarkEnd w:id="49"/>
      <w:bookmarkEnd w:id="50"/>
      <w:bookmarkEnd w:id="51"/>
      <w:bookmarkEnd w:id="52"/>
      <w:bookmarkEnd w:id="53"/>
    </w:p>
    <w:p w14:paraId="44DEDB73">
      <w:pPr>
        <w:ind w:firstLine="640"/>
        <w:jc w:val="both"/>
        <w:rPr>
          <w:rFonts w:hint="default" w:ascii="Times New Roman" w:hAnsi="Times New Roman" w:cs="Times New Roman"/>
          <w:color w:val="auto"/>
        </w:rPr>
      </w:pPr>
      <w:r>
        <w:rPr>
          <w:rFonts w:hint="default" w:ascii="Times New Roman" w:hAnsi="Times New Roman" w:cs="Times New Roman"/>
          <w:color w:val="auto"/>
        </w:rPr>
        <w:t>1.发展机遇</w:t>
      </w:r>
    </w:p>
    <w:p w14:paraId="5213ED60">
      <w:pPr>
        <w:ind w:firstLine="640"/>
        <w:jc w:val="both"/>
        <w:rPr>
          <w:rFonts w:hint="default" w:ascii="Times New Roman" w:hAnsi="Times New Roman" w:cs="Times New Roman"/>
          <w:color w:val="auto"/>
        </w:rPr>
      </w:pPr>
      <w:r>
        <w:rPr>
          <w:rFonts w:hint="default" w:ascii="Times New Roman" w:hAnsi="Times New Roman" w:cs="Times New Roman"/>
          <w:color w:val="auto"/>
        </w:rPr>
        <w:t>党中央、国务院高度重视生物多样性保护工作。《中共中央 国务院关于全面推进美丽中国建设的意见》明确提出要加强生物多样性保护，落实“昆明—蒙特利尔全球生物多样性框架”，实施生物多样性保护重大工程，全面保护野生动植物，深入推进长江珍稀濒危物种拯救行动，继续抓好长江十年禁渔措施落实。《湖北省加强生物多样性保护三年（2024-2026年）行动方案》明确了全省生物多样性保护工作任务。立足新发展阶段，武汉市实现高水平保护、高质量发展，迎来新发展机遇。</w:t>
      </w:r>
    </w:p>
    <w:p w14:paraId="3F74F1D3">
      <w:pPr>
        <w:pStyle w:val="3"/>
        <w:ind w:firstLine="640"/>
        <w:rPr>
          <w:rFonts w:hint="default" w:ascii="Times New Roman" w:hAnsi="Times New Roman" w:cs="Times New Roman"/>
          <w:color w:val="auto"/>
        </w:rPr>
      </w:pPr>
      <w:r>
        <w:rPr>
          <w:rFonts w:hint="default" w:ascii="Times New Roman" w:hAnsi="Times New Roman" w:cs="Times New Roman"/>
          <w:color w:val="auto"/>
        </w:rPr>
        <w:t>习近平生态文明思想为生物多样性保护提供了科学指引。习近平总书记强调，建设生态文明，关系人民福祉，关系民族未来，必须树立尊重自然、顺应自然、保护自然的生态文明理念。习近平总书记在湖北考察时强调要“着力在生态文明建设上取得新成效”“要坚持把修复长江生态环境摆在推动长江经济带发展工作的重要位置，共抓大保护，不搞大开发”等一系列关于生态文明建设的重要指示，为全市生物多样性保护工作提供了根本遵循和行动指南。</w:t>
      </w:r>
    </w:p>
    <w:p w14:paraId="69428228">
      <w:pPr>
        <w:pStyle w:val="33"/>
        <w:ind w:firstLine="640" w:firstLineChars="200"/>
        <w:rPr>
          <w:rFonts w:hint="default" w:ascii="Times New Roman" w:hAnsi="Times New Roman" w:cs="Times New Roman"/>
          <w:color w:val="auto"/>
        </w:rPr>
      </w:pPr>
      <w:r>
        <w:rPr>
          <w:rFonts w:hint="default" w:ascii="Times New Roman" w:hAnsi="Times New Roman" w:cs="Times New Roman"/>
          <w:color w:val="auto"/>
        </w:rPr>
        <w:t>国际社会的高度关注为生物多样性保护提供了愿景目标。《生物多样性公约》第十五次缔约方大会通过的“昆明—蒙特利尔全球生物多样性框架”提出了“2050年愿景”“2030年使命”，明确了23个以行动为导向的全球目标，为武汉市生物多样性保护工作与国际接轨提供了新的工作目标。</w:t>
      </w:r>
    </w:p>
    <w:p w14:paraId="166BAE65">
      <w:pPr>
        <w:pStyle w:val="33"/>
        <w:ind w:firstLine="640" w:firstLineChars="200"/>
        <w:rPr>
          <w:rFonts w:hint="default" w:ascii="Times New Roman" w:hAnsi="Times New Roman" w:cs="Times New Roman"/>
          <w:color w:val="auto"/>
        </w:rPr>
      </w:pPr>
      <w:r>
        <w:rPr>
          <w:rFonts w:hint="default" w:ascii="Times New Roman" w:hAnsi="Times New Roman" w:cs="Times New Roman"/>
          <w:color w:val="auto"/>
        </w:rPr>
        <w:t>武汉市绿色发展战略为生物多样性保护与可持续利用提供了发展方向。《市人民政府办公厅关于加快推动生态资源优势转化为绿色发展优势的实施意见》提出构建生态空间格局、加快生态产业发展、创新绿色低碳科技、推动生态价值转化、推进产业绿色转型、补齐生态环境治理短板等六大任务，为加快推动“三个优势转化”，重塑新时代武汉之“重”，奋力打造人与自然和谐共生的重要典范，推进生物多样性保护与可持续利用提供了新的发展方向。</w:t>
      </w:r>
    </w:p>
    <w:p w14:paraId="2EEFC214">
      <w:pPr>
        <w:pStyle w:val="3"/>
        <w:ind w:firstLine="640"/>
        <w:rPr>
          <w:rFonts w:hint="default" w:ascii="Times New Roman" w:hAnsi="Times New Roman" w:cs="Times New Roman"/>
          <w:color w:val="auto"/>
        </w:rPr>
      </w:pPr>
      <w:r>
        <w:rPr>
          <w:rFonts w:hint="default" w:ascii="Times New Roman" w:hAnsi="Times New Roman" w:cs="Times New Roman"/>
          <w:color w:val="auto"/>
        </w:rPr>
        <w:t>人民群众对美好生活的向往为生物多样性保护提出了新的需求。良好的生态环境是最公平的公共产品，是最普惠的民生福祉。</w:t>
      </w:r>
      <w:r>
        <w:rPr>
          <w:rFonts w:hint="default" w:ascii="Times New Roman" w:hAnsi="Times New Roman" w:cs="Times New Roman"/>
          <w:color w:val="auto"/>
          <w:lang w:eastAsia="zh-CN"/>
        </w:rPr>
        <w:t>武汉市</w:t>
      </w:r>
      <w:r>
        <w:rPr>
          <w:rFonts w:hint="default" w:ascii="Times New Roman" w:hAnsi="Times New Roman" w:cs="Times New Roman"/>
          <w:color w:val="auto"/>
        </w:rPr>
        <w:t>坚持保护优先、自然恢复为主，实施生态保护和修复工程，整合优化自然保护地，划定生态保护红线，加强生物多样性保护，稳步推进生态保护。以生物多样性保护为基础，探索生态产品价值转化路径，让生物多样性成为人民群众共享资源和福祉。</w:t>
      </w:r>
    </w:p>
    <w:p w14:paraId="5F52C384">
      <w:pPr>
        <w:ind w:firstLine="640"/>
        <w:jc w:val="both"/>
        <w:rPr>
          <w:rFonts w:hint="default" w:ascii="Times New Roman" w:hAnsi="Times New Roman" w:cs="Times New Roman"/>
          <w:color w:val="auto"/>
        </w:rPr>
      </w:pPr>
      <w:r>
        <w:rPr>
          <w:rFonts w:hint="default" w:ascii="Times New Roman" w:hAnsi="Times New Roman" w:cs="Times New Roman"/>
          <w:color w:val="auto"/>
        </w:rPr>
        <w:t>2.面临挑战</w:t>
      </w:r>
    </w:p>
    <w:p w14:paraId="74FC91BE">
      <w:pPr>
        <w:ind w:firstLine="640"/>
        <w:jc w:val="both"/>
        <w:rPr>
          <w:rFonts w:hint="default" w:ascii="Times New Roman" w:hAnsi="Times New Roman" w:cs="Times New Roman"/>
          <w:color w:val="auto"/>
        </w:rPr>
      </w:pPr>
      <w:r>
        <w:rPr>
          <w:rFonts w:hint="default" w:ascii="Times New Roman" w:hAnsi="Times New Roman" w:cs="Times New Roman"/>
          <w:color w:val="auto"/>
        </w:rPr>
        <w:t>近年来，武汉市积极贯彻落实党和国家关于生物多样性保护的重要决策部署，认真学习贯彻习近平总书记关于生物多样性保护的重要讲话精神，以举办《湿地公约》第十四届缔约方大会为契机，严格基本生态控制线管理，开展“江豚回归江城”计划及水生生物多样性保护，实施长江“十年禁渔”。加大野生动物保护力度，加强珍稀濒危物种集中分布、繁殖、栖息的重点湿地保护，健全森林河流湖泊休养生息制度，实施长江大保护造林工程，在生物多样性保护工作取得了一定成绩的同时，也面临一些挑战。</w:t>
      </w:r>
    </w:p>
    <w:p w14:paraId="54D8DBAB">
      <w:pPr>
        <w:ind w:firstLine="640"/>
        <w:jc w:val="both"/>
        <w:rPr>
          <w:rFonts w:hint="default" w:ascii="Times New Roman" w:hAnsi="Times New Roman" w:eastAsia="楷体_GB2312" w:cs="Times New Roman"/>
          <w:color w:val="auto"/>
        </w:rPr>
      </w:pPr>
      <w:r>
        <w:rPr>
          <w:rFonts w:hint="default" w:ascii="Times New Roman" w:hAnsi="Times New Roman" w:cs="Times New Roman"/>
          <w:color w:val="auto"/>
        </w:rPr>
        <w:t>生物多样性法规政策体系尚不完善。武汉市关于生物多样性保护与管理的相关要求散落于多个法规政策文件之中，尚未形成系统完整的综合性法规，全市生物多样性缺乏统筹规划计划，制约武汉市生物多样性保护与管理成效。</w:t>
      </w:r>
    </w:p>
    <w:p w14:paraId="775B8B2C">
      <w:pPr>
        <w:ind w:firstLine="640"/>
        <w:jc w:val="both"/>
        <w:rPr>
          <w:rFonts w:hint="default" w:ascii="Times New Roman" w:hAnsi="Times New Roman" w:cs="Times New Roman"/>
          <w:color w:val="auto"/>
        </w:rPr>
      </w:pPr>
      <w:r>
        <w:rPr>
          <w:rFonts w:hint="default" w:ascii="Times New Roman" w:hAnsi="Times New Roman" w:cs="Times New Roman"/>
          <w:color w:val="auto"/>
        </w:rPr>
        <w:t>生物多样性家底尚不清晰。武汉市仅蔡甸区、新洲区等区和部分湿地类型自然保护地完成或正在开展生物多样性本底调查，尚未完成全域生物多样性本底普查，在市域层面缺乏全面的生物多样性本底资料，保护、监管和可持续利用缺乏有效数据支撑。</w:t>
      </w:r>
    </w:p>
    <w:p w14:paraId="63F2119A">
      <w:pPr>
        <w:ind w:firstLine="640"/>
        <w:jc w:val="both"/>
        <w:rPr>
          <w:rFonts w:hint="default" w:ascii="Times New Roman" w:hAnsi="Times New Roman" w:cs="Times New Roman"/>
          <w:color w:val="auto"/>
        </w:rPr>
      </w:pPr>
      <w:r>
        <w:rPr>
          <w:rFonts w:hint="default" w:ascii="Times New Roman" w:hAnsi="Times New Roman" w:cs="Times New Roman"/>
          <w:color w:val="auto"/>
        </w:rPr>
        <w:t>生物多样性监测和评估体系较为薄弱。武汉市针对珍稀濒危物种、重点保护物种、外来入侵物种等的动态监测体系尚不完善，长期定位监测体系存在短板，定期监测评估制度不健全，总体上生物多样性监测工作基础较为薄弱。</w:t>
      </w:r>
    </w:p>
    <w:p w14:paraId="699D4ABA">
      <w:pPr>
        <w:ind w:firstLine="640"/>
        <w:jc w:val="both"/>
        <w:rPr>
          <w:rFonts w:hint="default" w:ascii="Times New Roman" w:hAnsi="Times New Roman" w:cs="Times New Roman"/>
          <w:color w:val="auto"/>
        </w:rPr>
      </w:pPr>
      <w:r>
        <w:rPr>
          <w:rFonts w:hint="default" w:ascii="Times New Roman" w:hAnsi="Times New Roman" w:cs="Times New Roman"/>
          <w:color w:val="auto"/>
        </w:rPr>
        <w:t>生物多样性保护投入不足。武汉市生物多样性保护目前主要依托于各类自然保护地，存在保护资金投入不足、来源单一，专业技术人员不足等问题，制约了生物多样性保护成效。</w:t>
      </w:r>
    </w:p>
    <w:p w14:paraId="12968402">
      <w:pPr>
        <w:ind w:firstLine="640"/>
        <w:jc w:val="both"/>
        <w:rPr>
          <w:rFonts w:hint="default" w:ascii="Times New Roman" w:hAnsi="Times New Roman" w:cs="Times New Roman"/>
          <w:color w:val="auto"/>
        </w:rPr>
      </w:pPr>
      <w:r>
        <w:rPr>
          <w:rFonts w:hint="default" w:ascii="Times New Roman" w:hAnsi="Times New Roman" w:cs="Times New Roman"/>
          <w:color w:val="auto"/>
        </w:rPr>
        <w:t>生物多样性保护意识有待提高。生物多样性保护知识和意识有待提升，一些地方政府和有关部门对生物多样性保护工作缺乏深入了解，对保护生物多样性、助力美丽中国建设、促进</w:t>
      </w:r>
      <w:bookmarkStart w:id="54" w:name="OLE_LINK67"/>
      <w:bookmarkStart w:id="55" w:name="OLE_LINK68"/>
      <w:r>
        <w:rPr>
          <w:rFonts w:hint="default" w:ascii="Times New Roman" w:hAnsi="Times New Roman" w:cs="Times New Roman"/>
          <w:color w:val="auto"/>
        </w:rPr>
        <w:t>绿水青山转化为金山银山</w:t>
      </w:r>
      <w:bookmarkEnd w:id="54"/>
      <w:bookmarkEnd w:id="55"/>
      <w:r>
        <w:rPr>
          <w:rFonts w:hint="default" w:ascii="Times New Roman" w:hAnsi="Times New Roman" w:cs="Times New Roman"/>
          <w:color w:val="auto"/>
        </w:rPr>
        <w:t>的重要性认识不足。</w:t>
      </w:r>
    </w:p>
    <w:p w14:paraId="7BE6716D">
      <w:pPr>
        <w:ind w:firstLine="640"/>
        <w:jc w:val="both"/>
        <w:rPr>
          <w:rFonts w:hint="default" w:ascii="Times New Roman" w:hAnsi="Times New Roman" w:cs="Times New Roman"/>
          <w:color w:val="auto"/>
        </w:rPr>
      </w:pPr>
      <w:r>
        <w:rPr>
          <w:rFonts w:hint="default" w:ascii="Times New Roman" w:hAnsi="Times New Roman" w:cs="Times New Roman"/>
          <w:color w:val="auto"/>
        </w:rPr>
        <w:br w:type="page"/>
      </w:r>
    </w:p>
    <w:p w14:paraId="35687671">
      <w:pPr>
        <w:pStyle w:val="5"/>
        <w:spacing w:before="312" w:after="312"/>
        <w:rPr>
          <w:rFonts w:hint="default" w:ascii="Times New Roman" w:hAnsi="Times New Roman" w:cs="Times New Roman"/>
          <w:b w:val="0"/>
          <w:bCs w:val="0"/>
          <w:color w:val="auto"/>
        </w:rPr>
      </w:pPr>
      <w:bookmarkStart w:id="56" w:name="_Toc18788"/>
      <w:bookmarkStart w:id="57" w:name="_Toc22823"/>
      <w:bookmarkStart w:id="58" w:name="_Toc194476134"/>
      <w:bookmarkStart w:id="59" w:name="_Toc147668054"/>
      <w:bookmarkStart w:id="60" w:name="_Toc28443"/>
      <w:bookmarkStart w:id="61" w:name="_Toc9748"/>
      <w:bookmarkStart w:id="62" w:name="_Toc6845"/>
      <w:bookmarkStart w:id="63" w:name="_Toc16135"/>
      <w:bookmarkStart w:id="64" w:name="_Toc31177"/>
      <w:r>
        <w:rPr>
          <w:rFonts w:hint="default" w:ascii="Times New Roman" w:hAnsi="Times New Roman" w:cs="Times New Roman"/>
          <w:b w:val="0"/>
          <w:bCs w:val="0"/>
          <w:color w:val="auto"/>
        </w:rPr>
        <w:t xml:space="preserve">第三章  </w:t>
      </w:r>
      <w:bookmarkEnd w:id="56"/>
      <w:bookmarkEnd w:id="57"/>
      <w:r>
        <w:rPr>
          <w:rFonts w:hint="default" w:ascii="Times New Roman" w:hAnsi="Times New Roman" w:cs="Times New Roman"/>
          <w:b w:val="0"/>
          <w:bCs w:val="0"/>
          <w:color w:val="auto"/>
        </w:rPr>
        <w:t>生物多样性保护总体目标与任务</w:t>
      </w:r>
      <w:bookmarkEnd w:id="58"/>
    </w:p>
    <w:p w14:paraId="24924A72">
      <w:pPr>
        <w:pStyle w:val="6"/>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b w:val="0"/>
          <w:bCs w:val="0"/>
          <w:color w:val="auto"/>
        </w:rPr>
      </w:pPr>
      <w:bookmarkStart w:id="65" w:name="_Toc194476135"/>
      <w:bookmarkStart w:id="66" w:name="_Toc25695"/>
      <w:bookmarkStart w:id="67" w:name="_Toc31104"/>
      <w:r>
        <w:rPr>
          <w:rFonts w:hint="default" w:ascii="Times New Roman" w:hAnsi="Times New Roman" w:cs="Times New Roman"/>
          <w:b w:val="0"/>
          <w:bCs w:val="0"/>
          <w:color w:val="auto"/>
        </w:rPr>
        <w:t>（一）规划依据</w:t>
      </w:r>
      <w:bookmarkEnd w:id="65"/>
    </w:p>
    <w:p w14:paraId="6B7F023B">
      <w:pPr>
        <w:pStyle w:val="7"/>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1.国际公约与相关法律</w:t>
      </w:r>
    </w:p>
    <w:p w14:paraId="6F27F9D8">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《生物多样性公约》 1992年</w:t>
      </w:r>
    </w:p>
    <w:p w14:paraId="16A29EB8">
      <w:pPr>
        <w:pStyle w:val="3"/>
        <w:pageBreakBefore w:val="0"/>
        <w:widowControl w:val="0"/>
        <w:kinsoku/>
        <w:wordWrap/>
        <w:overflowPunct/>
        <w:topLinePunct w:val="0"/>
        <w:autoSpaceDE/>
        <w:autoSpaceDN/>
        <w:bidi w:val="0"/>
        <w:adjustRightInd/>
        <w:snapToGrid/>
        <w:spacing w:line="578"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《国际湿地公约》 1971年</w:t>
      </w:r>
    </w:p>
    <w:p w14:paraId="049E0C4F">
      <w:pPr>
        <w:pStyle w:val="3"/>
        <w:pageBreakBefore w:val="0"/>
        <w:widowControl w:val="0"/>
        <w:kinsoku/>
        <w:wordWrap/>
        <w:overflowPunct/>
        <w:topLinePunct w:val="0"/>
        <w:autoSpaceDE/>
        <w:autoSpaceDN/>
        <w:bidi w:val="0"/>
        <w:adjustRightInd/>
        <w:snapToGrid/>
        <w:spacing w:line="578"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《昆明—蒙特利尔全球生物多样性框架》 2022年</w:t>
      </w:r>
    </w:p>
    <w:p w14:paraId="0CEE9D80">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《中华人民共和国野生动物保护法》 2022年修订</w:t>
      </w:r>
    </w:p>
    <w:p w14:paraId="5B3D7151">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《中华人民共和国湿地保护法》 2022年</w:t>
      </w:r>
    </w:p>
    <w:p w14:paraId="73EC21D4">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《中华人民共和国长江保护法》 2021年</w:t>
      </w:r>
    </w:p>
    <w:p w14:paraId="60765EB4">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《中华人民共和国生物安全法》 2020年</w:t>
      </w:r>
    </w:p>
    <w:p w14:paraId="3F6149DF">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《中华人民共和国森林法》 2019年修订</w:t>
      </w:r>
    </w:p>
    <w:p w14:paraId="46AA2E93">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《中华人民共和国环境保护法》 2014年修订</w:t>
      </w:r>
    </w:p>
    <w:p w14:paraId="7AEC23E2">
      <w:pPr>
        <w:pStyle w:val="7"/>
        <w:pageBreakBefore w:val="0"/>
        <w:widowControl w:val="0"/>
        <w:kinsoku/>
        <w:wordWrap/>
        <w:overflowPunct/>
        <w:topLinePunct w:val="0"/>
        <w:autoSpaceDE/>
        <w:autoSpaceDN/>
        <w:bidi w:val="0"/>
        <w:adjustRightInd/>
        <w:snapToGrid/>
        <w:spacing w:line="578" w:lineRule="exact"/>
        <w:ind w:firstLine="64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2.相关政策与法规</w:t>
      </w:r>
    </w:p>
    <w:p w14:paraId="6C476725">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《中共中央 国务院关于全面推进美丽中国建设的意见》 2023年</w:t>
      </w:r>
    </w:p>
    <w:p w14:paraId="51191CD0">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《中共中央 国务院关于加快推进生态文明建设的意见》2015年</w:t>
      </w:r>
    </w:p>
    <w:p w14:paraId="374480BC">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《中共中央办公厅 国务院办公厅关于进一步加强生物多样性保护的意见》 2021年</w:t>
      </w:r>
    </w:p>
    <w:p w14:paraId="29F54EC4">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《中共中央办公厅 国务院办公厅关于建立健全生态产品价值实现机制的意见》 2021年</w:t>
      </w:r>
    </w:p>
    <w:p w14:paraId="05B5AB46">
      <w:pPr>
        <w:pStyle w:val="3"/>
        <w:pageBreakBefore w:val="0"/>
        <w:widowControl w:val="0"/>
        <w:kinsoku/>
        <w:wordWrap/>
        <w:overflowPunct/>
        <w:topLinePunct w:val="0"/>
        <w:autoSpaceDE/>
        <w:autoSpaceDN/>
        <w:bidi w:val="0"/>
        <w:adjustRightInd/>
        <w:snapToGrid/>
        <w:spacing w:line="578"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《中共中央办公厅 国务院办公厅关于建立以国家公园为主体的自然保护地体系的指导意见》 2019年</w:t>
      </w:r>
    </w:p>
    <w:p w14:paraId="63D8C68C">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《古树名木保护条例》 2025年</w:t>
      </w:r>
    </w:p>
    <w:p w14:paraId="0090B5B1">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《中华人民共和国自然保护区条例》 2017年修订</w:t>
      </w:r>
    </w:p>
    <w:p w14:paraId="50ADFA40">
      <w:pPr>
        <w:pStyle w:val="3"/>
        <w:pageBreakBefore w:val="0"/>
        <w:widowControl w:val="0"/>
        <w:kinsoku/>
        <w:wordWrap/>
        <w:overflowPunct/>
        <w:topLinePunct w:val="0"/>
        <w:autoSpaceDE/>
        <w:autoSpaceDN/>
        <w:bidi w:val="0"/>
        <w:adjustRightInd/>
        <w:snapToGrid/>
        <w:spacing w:line="578"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《风景名胜区条例》 2016年修订</w:t>
      </w:r>
    </w:p>
    <w:p w14:paraId="75F59DA9">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《中华人民共和国陆生野生动物保护实施条例》 2016年修订</w:t>
      </w:r>
    </w:p>
    <w:p w14:paraId="2C5D1BF7">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《中华人民共和国野生植物保护条例》 2010年</w:t>
      </w:r>
    </w:p>
    <w:p w14:paraId="74BB5D9A">
      <w:pPr>
        <w:pStyle w:val="3"/>
        <w:pageBreakBefore w:val="0"/>
        <w:widowControl w:val="0"/>
        <w:kinsoku/>
        <w:wordWrap/>
        <w:overflowPunct/>
        <w:topLinePunct w:val="0"/>
        <w:autoSpaceDE/>
        <w:autoSpaceDN/>
        <w:bidi w:val="0"/>
        <w:adjustRightInd/>
        <w:snapToGrid/>
        <w:spacing w:line="578"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《国家级自然公园管理办法（试行）》 2023年</w:t>
      </w:r>
    </w:p>
    <w:p w14:paraId="16F71EBF">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《湖北省人民代表大会常务委员会关于加强湿地保护的决定》 2024年</w:t>
      </w:r>
    </w:p>
    <w:p w14:paraId="36F2C748">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《湖北省林地管理条例》 2022年修订</w:t>
      </w:r>
    </w:p>
    <w:p w14:paraId="51CCB079">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《湖北省环境保护条例》 2016年修订</w:t>
      </w:r>
    </w:p>
    <w:p w14:paraId="2E2C9A93">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《湖北省湖泊保护条例》 2012年</w:t>
      </w:r>
    </w:p>
    <w:p w14:paraId="5A3B5EFE">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《湖北省植物保护条例》 2009年</w:t>
      </w:r>
    </w:p>
    <w:p w14:paraId="0627510E">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《湖北省森林和野生动物类型自然保护区管理办法》 2003年</w:t>
      </w:r>
    </w:p>
    <w:p w14:paraId="0E72ADFA">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《湖北省湿地公园管理办法》 2014年</w:t>
      </w:r>
    </w:p>
    <w:p w14:paraId="70A9D6B2">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《湖北省古树名木保护管理办法》 2010年</w:t>
      </w:r>
    </w:p>
    <w:p w14:paraId="10802EED">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《武汉市基本生态控制线管理条例》 2016年</w:t>
      </w:r>
    </w:p>
    <w:p w14:paraId="63C36034">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《武汉市湖泊保护条例》 2015年</w:t>
      </w:r>
    </w:p>
    <w:p w14:paraId="6C2A4859">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《武汉市湿地自然保护区条例》 2010年</w:t>
      </w:r>
    </w:p>
    <w:p w14:paraId="0C312D45">
      <w:pPr>
        <w:pStyle w:val="3"/>
        <w:pageBreakBefore w:val="0"/>
        <w:widowControl w:val="0"/>
        <w:kinsoku/>
        <w:wordWrap/>
        <w:overflowPunct/>
        <w:topLinePunct w:val="0"/>
        <w:autoSpaceDE/>
        <w:autoSpaceDN/>
        <w:bidi w:val="0"/>
        <w:adjustRightInd/>
        <w:snapToGrid/>
        <w:spacing w:line="578"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《武汉市湿地自然保护区生态补偿办法》 2021年</w:t>
      </w:r>
    </w:p>
    <w:p w14:paraId="3FC622DE">
      <w:pPr>
        <w:pStyle w:val="7"/>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3.相关规划与计划</w:t>
      </w:r>
    </w:p>
    <w:p w14:paraId="600B0905">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《中国生物多样性保护战略与行动计划（2023-2030年）》 2024年</w:t>
      </w:r>
    </w:p>
    <w:p w14:paraId="71C608D8">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《全国重要生态系统保护和修复重大工程总体规划（2021-2035年）》 2021年</w:t>
      </w:r>
    </w:p>
    <w:p w14:paraId="29279351">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《湖北省国民经济和社会发展第十四个五年规划和二</w:t>
      </w:r>
      <w:r>
        <w:rPr>
          <w:rFonts w:hint="default" w:ascii="Times New Roman" w:hAnsi="Times New Roman" w:eastAsia="微软雅黑" w:cs="Times New Roman"/>
          <w:color w:val="auto"/>
        </w:rPr>
        <w:t>〇</w:t>
      </w:r>
      <w:r>
        <w:rPr>
          <w:rFonts w:hint="default" w:ascii="Times New Roman" w:hAnsi="Times New Roman" w:cs="Times New Roman"/>
          <w:color w:val="auto"/>
        </w:rPr>
        <w:t>三五年远景目标纲要》 2021年</w:t>
      </w:r>
    </w:p>
    <w:p w14:paraId="14CA07B1">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《湖北省生物多样性保护战略与行动计划(2014-2030年)》 2014年</w:t>
      </w:r>
    </w:p>
    <w:p w14:paraId="116E2A3B">
      <w:pPr>
        <w:pStyle w:val="3"/>
        <w:pageBreakBefore w:val="0"/>
        <w:widowControl w:val="0"/>
        <w:kinsoku/>
        <w:wordWrap/>
        <w:overflowPunct/>
        <w:topLinePunct w:val="0"/>
        <w:autoSpaceDE/>
        <w:autoSpaceDN/>
        <w:bidi w:val="0"/>
        <w:adjustRightInd/>
        <w:snapToGrid/>
        <w:spacing w:line="578"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《湖北省加强生物多样性保护三年（2024-2026年）行动方案》 2024年</w:t>
      </w:r>
    </w:p>
    <w:p w14:paraId="1ACC7A89">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《湖北省人民政府关于建立健全生态保护补偿机制的实施意见》 2018年</w:t>
      </w:r>
    </w:p>
    <w:p w14:paraId="73A20F35">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《湖北省生态环境保护“十四五”规划》 2021年</w:t>
      </w:r>
    </w:p>
    <w:p w14:paraId="610ADF72">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《湖北省长江经济带绿色发展“十四五”规划》 2021年</w:t>
      </w:r>
    </w:p>
    <w:p w14:paraId="246367A2">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《湖北省生物产业发展“十四五”规划》 2021年</w:t>
      </w:r>
    </w:p>
    <w:p w14:paraId="523AC47C">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《武汉市国民经济和社会发展第十四个五年规划和 2035年远景目标纲要》 2021年</w:t>
      </w:r>
    </w:p>
    <w:p w14:paraId="269FF8BE">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《武汉市国土空间总体规划（2021-2035年）》 2025年</w:t>
      </w:r>
    </w:p>
    <w:p w14:paraId="4A1B2898">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《武汉市生态环境保护“十四五”规划》 2022年</w:t>
      </w:r>
    </w:p>
    <w:p w14:paraId="663A9B12">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《武汉市园林和林业发展“十四五”规划（2021-2025年）》 2022年</w:t>
      </w:r>
    </w:p>
    <w:p w14:paraId="17F7FF9D">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《武汉市水务发展“十四五”规划》 2022年</w:t>
      </w:r>
    </w:p>
    <w:p w14:paraId="2CD71816">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《武汉东湖生态旅游风景区保护与发展“十四五”规划》 2022年</w:t>
      </w:r>
    </w:p>
    <w:p w14:paraId="1534CAD0">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《武汉市国土空间生态修复规划（2021-2035年）》 2023年</w:t>
      </w:r>
    </w:p>
    <w:p w14:paraId="0C3043DE">
      <w:pPr>
        <w:pStyle w:val="3"/>
        <w:pageBreakBefore w:val="0"/>
        <w:widowControl w:val="0"/>
        <w:kinsoku/>
        <w:wordWrap/>
        <w:overflowPunct/>
        <w:topLinePunct w:val="0"/>
        <w:autoSpaceDE/>
        <w:autoSpaceDN/>
        <w:bidi w:val="0"/>
        <w:adjustRightInd/>
        <w:snapToGrid/>
        <w:spacing w:line="578"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《武汉市湿地保护与利用发展规划（2025-2035年）》 2025年</w:t>
      </w:r>
    </w:p>
    <w:p w14:paraId="1A5DC61A">
      <w:pPr>
        <w:pStyle w:val="33"/>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t>《武汉市湿地花城建设实施方案》 2021年</w:t>
      </w:r>
    </w:p>
    <w:p w14:paraId="73620C80">
      <w:pPr>
        <w:pStyle w:val="6"/>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b w:val="0"/>
          <w:bCs w:val="0"/>
          <w:color w:val="auto"/>
        </w:rPr>
      </w:pPr>
      <w:bookmarkStart w:id="68" w:name="_Toc194476136"/>
      <w:r>
        <w:rPr>
          <w:rFonts w:hint="default" w:ascii="Times New Roman" w:hAnsi="Times New Roman" w:cs="Times New Roman"/>
          <w:b w:val="0"/>
          <w:bCs w:val="0"/>
          <w:color w:val="auto"/>
        </w:rPr>
        <w:t>（二）规划范围与期限</w:t>
      </w:r>
      <w:bookmarkEnd w:id="66"/>
      <w:bookmarkEnd w:id="67"/>
      <w:bookmarkEnd w:id="68"/>
    </w:p>
    <w:p w14:paraId="45DEE48E">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规划的范围为武汉市整个行政区域，总面积8569平方千米。以2024年为基准年，规划期限为2025-2035年。</w:t>
      </w:r>
    </w:p>
    <w:p w14:paraId="4C4762C3">
      <w:pPr>
        <w:pStyle w:val="6"/>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b w:val="0"/>
          <w:bCs w:val="0"/>
          <w:color w:val="auto"/>
        </w:rPr>
      </w:pPr>
      <w:bookmarkStart w:id="69" w:name="_Toc12502"/>
      <w:bookmarkStart w:id="70" w:name="_Toc194476137"/>
      <w:bookmarkStart w:id="71" w:name="_Toc16798"/>
      <w:r>
        <w:rPr>
          <w:rFonts w:hint="default" w:ascii="Times New Roman" w:hAnsi="Times New Roman" w:cs="Times New Roman"/>
          <w:b w:val="0"/>
          <w:bCs w:val="0"/>
          <w:color w:val="auto"/>
        </w:rPr>
        <w:t>（三）指导思想</w:t>
      </w:r>
      <w:bookmarkEnd w:id="59"/>
      <w:bookmarkEnd w:id="60"/>
      <w:bookmarkEnd w:id="61"/>
      <w:bookmarkEnd w:id="62"/>
      <w:bookmarkEnd w:id="69"/>
      <w:bookmarkEnd w:id="70"/>
      <w:bookmarkEnd w:id="71"/>
    </w:p>
    <w:p w14:paraId="2330E23D">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以习近平新时代中国特色社会主义思想为指导，全面贯彻党的二十大和二十届二中、三中全会精神，深入贯彻习近平生态文明思想和习近平总书记考察湖北重要讲话精神，牢固树立绿水青山就是金山银山理念，认真落实省委、省政府“加快建成中部地区崛起重要战略支点”战略要求，</w:t>
      </w:r>
      <w:bookmarkStart w:id="72" w:name="OLE_LINK42"/>
      <w:bookmarkStart w:id="73" w:name="OLE_LINK41"/>
      <w:r>
        <w:rPr>
          <w:rFonts w:hint="default" w:ascii="Times New Roman" w:hAnsi="Times New Roman" w:cs="Times New Roman"/>
          <w:color w:val="auto"/>
        </w:rPr>
        <w:t>加快推动三个优势转化，重塑新时代武汉之</w:t>
      </w:r>
      <w:r>
        <w:rPr>
          <w:rFonts w:hint="default" w:ascii="Times New Roman" w:hAnsi="Times New Roman" w:cs="Times New Roman"/>
          <w:color w:val="auto"/>
          <w:lang w:eastAsia="zh-CN"/>
        </w:rPr>
        <w:t>“</w:t>
      </w:r>
      <w:r>
        <w:rPr>
          <w:rFonts w:hint="default" w:ascii="Times New Roman" w:hAnsi="Times New Roman" w:cs="Times New Roman"/>
          <w:color w:val="auto"/>
        </w:rPr>
        <w:t>重</w:t>
      </w:r>
      <w:r>
        <w:rPr>
          <w:rFonts w:hint="default" w:ascii="Times New Roman" w:hAnsi="Times New Roman" w:cs="Times New Roman"/>
          <w:color w:val="auto"/>
          <w:lang w:eastAsia="zh-CN"/>
        </w:rPr>
        <w:t>”</w:t>
      </w:r>
      <w:bookmarkEnd w:id="72"/>
      <w:bookmarkEnd w:id="73"/>
      <w:r>
        <w:rPr>
          <w:rFonts w:hint="default" w:ascii="Times New Roman" w:hAnsi="Times New Roman" w:cs="Times New Roman"/>
          <w:color w:val="auto"/>
        </w:rPr>
        <w:t>，积极将生态资源优势转化为绿色发展优势；以“打造人与自然和谐共生重要典范”为目标，系统谋划生物多样性保护工作，深入推进生物多样性主流化，全力应对生物多样性丧失威胁，深化生物多样性可持续开发利用与惠益共享，切实提升生物多样性保护现代化治理能力，推动武汉市生物多样性得到切实保护，为建设长江大保护典范城市、美丽中国建设样板城市、世界滨水生态名城和知名文化旅游目的地提供绿色发展内生动力。</w:t>
      </w:r>
    </w:p>
    <w:p w14:paraId="136B316B">
      <w:pPr>
        <w:pStyle w:val="6"/>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b w:val="0"/>
          <w:bCs w:val="0"/>
          <w:color w:val="auto"/>
        </w:rPr>
      </w:pPr>
      <w:bookmarkStart w:id="74" w:name="_Toc8245"/>
      <w:bookmarkStart w:id="75" w:name="_Toc6950"/>
      <w:bookmarkStart w:id="76" w:name="_Toc32628"/>
      <w:bookmarkStart w:id="77" w:name="_Toc147668055"/>
      <w:bookmarkStart w:id="78" w:name="_Toc1976"/>
      <w:bookmarkStart w:id="79" w:name="_Toc194476138"/>
      <w:bookmarkStart w:id="80" w:name="_Toc30161"/>
      <w:r>
        <w:rPr>
          <w:rFonts w:hint="default" w:ascii="Times New Roman" w:hAnsi="Times New Roman" w:cs="Times New Roman"/>
          <w:b w:val="0"/>
          <w:bCs w:val="0"/>
          <w:color w:val="auto"/>
        </w:rPr>
        <w:t>（四）基本原则</w:t>
      </w:r>
      <w:bookmarkEnd w:id="74"/>
      <w:bookmarkEnd w:id="75"/>
      <w:bookmarkEnd w:id="76"/>
      <w:bookmarkEnd w:id="77"/>
      <w:bookmarkEnd w:id="78"/>
      <w:bookmarkEnd w:id="79"/>
      <w:bookmarkEnd w:id="80"/>
    </w:p>
    <w:p w14:paraId="320E11CB">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保护优先，绿色发展。树立尊重自然、顺应自然、保护自然的理念，坚持保护优先，建立自然资源可持续利用长效机制，探索生态产品价值实现机制，打通绿水青山转化为金山银山的路径，促进生态资源优势转化为绿色发展优势，以生物多样性高水平保护促进绿色高质量发展。</w:t>
      </w:r>
    </w:p>
    <w:p w14:paraId="00FB82BA">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政府主导，多方参与。充分发挥市、区两级政府的主导作用，加强生物多样性保护宣传教育，强化信息公开和舆论监督，逐步建立和完善公众参与机制。完善生态保护补偿机制，积极推动生物多样性惠益共享制度，合理分享生物多样性资源产生的效益。</w:t>
      </w:r>
    </w:p>
    <w:p w14:paraId="4802A387">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因地制宜，突出特色。根据自然条件、资源禀赋和绿色产业发展的实际情况，对本地典型湿地生态系统、道地中药材、珍稀濒危物种和重要遗传资源实施有效保护，因势利导开展特色生物资源的可持续利用。</w:t>
      </w:r>
    </w:p>
    <w:p w14:paraId="382BDB3E">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强化改革，促进创新。依托武汉丰富的科教资源优势，完善生物多样性保护监测、生物资源可持续利用等技术研发的政策激励机制，建立健全多元化生物多样性保护投融资机制，以体制机制创新推动科技创新、产业创新和企业创新。</w:t>
      </w:r>
    </w:p>
    <w:p w14:paraId="009C8CCF">
      <w:pPr>
        <w:pStyle w:val="6"/>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b w:val="0"/>
          <w:bCs w:val="0"/>
          <w:color w:val="auto"/>
        </w:rPr>
      </w:pPr>
      <w:bookmarkStart w:id="81" w:name="_Toc1529"/>
      <w:bookmarkStart w:id="82" w:name="_Toc15058"/>
      <w:bookmarkStart w:id="83" w:name="_Toc13642"/>
      <w:bookmarkStart w:id="84" w:name="_Toc2120"/>
      <w:bookmarkStart w:id="85" w:name="_Toc194476139"/>
      <w:bookmarkStart w:id="86" w:name="_Toc147668056"/>
      <w:bookmarkStart w:id="87" w:name="_Toc22953"/>
      <w:r>
        <w:rPr>
          <w:rFonts w:hint="default" w:ascii="Times New Roman" w:hAnsi="Times New Roman" w:cs="Times New Roman"/>
          <w:b w:val="0"/>
          <w:bCs w:val="0"/>
          <w:color w:val="auto"/>
        </w:rPr>
        <w:t>（五）规划目标</w:t>
      </w:r>
      <w:bookmarkEnd w:id="81"/>
      <w:bookmarkEnd w:id="82"/>
      <w:bookmarkEnd w:id="83"/>
      <w:bookmarkEnd w:id="84"/>
      <w:bookmarkEnd w:id="85"/>
      <w:bookmarkEnd w:id="86"/>
      <w:bookmarkEnd w:id="87"/>
    </w:p>
    <w:p w14:paraId="668B9F72">
      <w:pPr>
        <w:pStyle w:val="7"/>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b w:val="0"/>
          <w:bCs w:val="0"/>
          <w:color w:val="auto"/>
        </w:rPr>
      </w:pPr>
      <w:bookmarkStart w:id="88" w:name="_Toc29066"/>
      <w:bookmarkStart w:id="89" w:name="_Toc147668057"/>
      <w:bookmarkStart w:id="90" w:name="_Toc3237"/>
      <w:r>
        <w:rPr>
          <w:rFonts w:hint="default" w:ascii="Times New Roman" w:hAnsi="Times New Roman" w:cs="Times New Roman"/>
          <w:b w:val="0"/>
          <w:bCs w:val="0"/>
          <w:color w:val="auto"/>
        </w:rPr>
        <w:t>1.战略目标</w:t>
      </w:r>
    </w:p>
    <w:p w14:paraId="79AEB42E">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为深入学习习近平总书记考察湖北武汉重要讲话精神，全面贯彻全省建设美丽湖北战略，整体提升“支点”建设的生态承载力，深入落实全市打造人与自然和谐共生的重要典范行动计划，以“五力五城”为抓手，建设全国生态环境保护新高地，重塑新时代武汉之“重”。</w:t>
      </w:r>
    </w:p>
    <w:p w14:paraId="345E5FD8">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——以持续推进蓝天、碧水、净土三大保卫战为支撑点，提升环境承载力，</w:t>
      </w:r>
      <w:bookmarkStart w:id="91" w:name="OLE_LINK10"/>
      <w:r>
        <w:rPr>
          <w:rFonts w:hint="default" w:ascii="Times New Roman" w:hAnsi="Times New Roman" w:cs="Times New Roman"/>
          <w:color w:val="auto"/>
        </w:rPr>
        <w:t>加强流域联防联控体系统筹，刷亮武汉</w:t>
      </w:r>
      <w:bookmarkEnd w:id="91"/>
      <w:r>
        <w:rPr>
          <w:rFonts w:hint="default" w:ascii="Times New Roman" w:hAnsi="Times New Roman" w:cs="Times New Roman"/>
          <w:color w:val="auto"/>
        </w:rPr>
        <w:t>生态品质，争创美丽中国先行示范城市；</w:t>
      </w:r>
    </w:p>
    <w:p w14:paraId="19FD1B76">
      <w:pPr>
        <w:pStyle w:val="3"/>
        <w:pageBreakBefore w:val="0"/>
        <w:widowControl w:val="0"/>
        <w:kinsoku/>
        <w:wordWrap/>
        <w:overflowPunct/>
        <w:topLinePunct w:val="0"/>
        <w:autoSpaceDE/>
        <w:autoSpaceDN/>
        <w:bidi w:val="0"/>
        <w:adjustRightInd/>
        <w:snapToGrid/>
        <w:spacing w:line="578"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——以深入推进长江高水平保护“双十行动”为撬动点，提升生态服务承载力，</w:t>
      </w:r>
      <w:bookmarkStart w:id="92" w:name="OLE_LINK8"/>
      <w:bookmarkStart w:id="93" w:name="OLE_LINK9"/>
      <w:r>
        <w:rPr>
          <w:rFonts w:hint="default" w:ascii="Times New Roman" w:hAnsi="Times New Roman" w:cs="Times New Roman"/>
          <w:color w:val="auto"/>
        </w:rPr>
        <w:t>强化武汉在长江大保护的示范</w:t>
      </w:r>
      <w:r>
        <w:rPr>
          <w:rFonts w:hint="default" w:ascii="Times New Roman" w:hAnsi="Times New Roman" w:cs="Times New Roman"/>
          <w:color w:val="auto"/>
          <w:lang w:eastAsia="zh-CN"/>
        </w:rPr>
        <w:t>引领</w:t>
      </w:r>
      <w:r>
        <w:rPr>
          <w:rFonts w:hint="default" w:ascii="Times New Roman" w:hAnsi="Times New Roman" w:cs="Times New Roman"/>
          <w:color w:val="auto"/>
        </w:rPr>
        <w:t>，扮靓</w:t>
      </w:r>
      <w:bookmarkEnd w:id="92"/>
      <w:bookmarkEnd w:id="93"/>
      <w:r>
        <w:rPr>
          <w:rFonts w:hint="default" w:ascii="Times New Roman" w:hAnsi="Times New Roman" w:cs="Times New Roman"/>
          <w:color w:val="auto"/>
        </w:rPr>
        <w:t>百里长江生态廊道，打造长江大保护典范城市；</w:t>
      </w:r>
    </w:p>
    <w:p w14:paraId="7C479CD3">
      <w:pPr>
        <w:pStyle w:val="33"/>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t>——以打造湿地花城和“千园之城”为着力点，提升生物承载力，</w:t>
      </w:r>
      <w:bookmarkStart w:id="94" w:name="OLE_LINK7"/>
      <w:bookmarkStart w:id="95" w:name="OLE_LINK6"/>
      <w:r>
        <w:rPr>
          <w:rFonts w:hint="default" w:ascii="Times New Roman" w:hAnsi="Times New Roman" w:cs="Times New Roman"/>
          <w:color w:val="auto"/>
        </w:rPr>
        <w:t>统筹山水林田湖草一体化保护修复，擦亮生态宜居的国际湿地城市金名片</w:t>
      </w:r>
      <w:bookmarkEnd w:id="94"/>
      <w:bookmarkEnd w:id="95"/>
      <w:r>
        <w:rPr>
          <w:rFonts w:hint="default" w:ascii="Times New Roman" w:hAnsi="Times New Roman" w:cs="Times New Roman"/>
          <w:color w:val="auto"/>
        </w:rPr>
        <w:t>，争创国家生态文明建设示范城市；</w:t>
      </w:r>
    </w:p>
    <w:p w14:paraId="22AFD4E2">
      <w:pPr>
        <w:pStyle w:val="33"/>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t>——以流域综合治理和美丽河湖建设为关键点，提升资源承载力，支撑区域和资源环境协调发展，妆靓武汉城市生态底色，建设世界滨水生态名城；</w:t>
      </w:r>
    </w:p>
    <w:p w14:paraId="2799A86A">
      <w:pPr>
        <w:pStyle w:val="33"/>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color w:val="auto"/>
        </w:rPr>
      </w:pPr>
      <w:r>
        <w:rPr>
          <w:rFonts w:hint="default" w:ascii="Times New Roman" w:hAnsi="Times New Roman" w:cs="Times New Roman"/>
          <w:color w:val="auto"/>
        </w:rPr>
        <w:t>——以生物多样性相关传统知识保护和全民行动为切入点，提升生态文化承载力，闪亮武汉城市生态文化底蕴，打造生物多样性友好城市。</w:t>
      </w:r>
    </w:p>
    <w:p w14:paraId="4235EA26">
      <w:pPr>
        <w:pStyle w:val="7"/>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2.近期目标</w:t>
      </w:r>
      <w:bookmarkEnd w:id="88"/>
      <w:bookmarkEnd w:id="89"/>
      <w:bookmarkEnd w:id="90"/>
    </w:p>
    <w:p w14:paraId="2AE94456">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到2027年，全面启动开展第一轮武汉市全域生物多样性本底调查，初步构建武汉市重点区域生物多样性保护监测体系，逐步完善动植物种质资源库等生物遗传资源迁地保护体系，基本完成自然保护地整合优化，生物多样性保护水平稳步提升。探索构建生物多样性保护开发利用体系和生态产品价值评估体系，完善与实施生态保护补偿机制，有效提升生物多样性保护监管能力，进一步提高公众保护积极性和参与度。</w:t>
      </w:r>
    </w:p>
    <w:p w14:paraId="3CEDEA88">
      <w:pPr>
        <w:pStyle w:val="7"/>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b w:val="0"/>
          <w:bCs w:val="0"/>
          <w:color w:val="auto"/>
        </w:rPr>
      </w:pPr>
      <w:bookmarkStart w:id="96" w:name="_Toc6698"/>
      <w:bookmarkStart w:id="97" w:name="_Toc147668058"/>
      <w:bookmarkStart w:id="98" w:name="_Toc28665"/>
      <w:r>
        <w:rPr>
          <w:rFonts w:hint="default" w:ascii="Times New Roman" w:hAnsi="Times New Roman" w:cs="Times New Roman"/>
          <w:b w:val="0"/>
          <w:bCs w:val="0"/>
          <w:color w:val="auto"/>
        </w:rPr>
        <w:t>3.中期目标</w:t>
      </w:r>
      <w:bookmarkEnd w:id="96"/>
      <w:bookmarkEnd w:id="97"/>
      <w:bookmarkEnd w:id="98"/>
    </w:p>
    <w:p w14:paraId="75CFA18C">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到2030年，完成全市第一轮生物多样性本底调查，重点物种和重要栖息地的常态化调查、监测与评估体系基本建立。自然保护地体系进一步优化，国家重点保护野生动植物得到有效保护，生物多样性“空天地”一体化智慧监测体系基本建成。初步建立生物多样性保护政策法规、制度和标准体系，生物多样性可持续利用水平得到有效提升，绿水青山就是金山银山转化路径进一步拓宽，生物多样性科普场馆数量稳步增加，公众保护意识和参与程度普遍提高。</w:t>
      </w:r>
    </w:p>
    <w:p w14:paraId="31F9AF67">
      <w:pPr>
        <w:pStyle w:val="7"/>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b w:val="0"/>
          <w:bCs w:val="0"/>
          <w:color w:val="auto"/>
        </w:rPr>
      </w:pPr>
      <w:bookmarkStart w:id="99" w:name="_Toc147668059"/>
      <w:bookmarkStart w:id="100" w:name="_Toc11524"/>
      <w:bookmarkStart w:id="101" w:name="_Toc24572"/>
      <w:r>
        <w:rPr>
          <w:rFonts w:hint="default" w:ascii="Times New Roman" w:hAnsi="Times New Roman" w:cs="Times New Roman"/>
          <w:b w:val="0"/>
          <w:bCs w:val="0"/>
          <w:color w:val="auto"/>
        </w:rPr>
        <w:t>4.远期目标</w:t>
      </w:r>
      <w:bookmarkEnd w:id="99"/>
      <w:bookmarkEnd w:id="100"/>
      <w:bookmarkEnd w:id="101"/>
    </w:p>
    <w:p w14:paraId="39D89B73">
      <w:pPr>
        <w:pageBreakBefore w:val="0"/>
        <w:widowControl w:val="0"/>
        <w:kinsoku/>
        <w:wordWrap/>
        <w:overflowPunct/>
        <w:topLinePunct w:val="0"/>
        <w:autoSpaceDE/>
        <w:autoSpaceDN/>
        <w:bidi w:val="0"/>
        <w:adjustRightInd/>
        <w:snapToGrid/>
        <w:spacing w:line="578"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到2035年，持续推进生物多样性调查与评估，建成生物多样性监测体系，自然保护地体系较为完善，形成完善的生物多样性保护网络。遵循公园城市理念，人均公园绿地面积力争达到12平方米。生物多样性保护政策法律体系和生物资源可持续利用机制持续完善，</w:t>
      </w:r>
      <w:bookmarkStart w:id="102" w:name="OLE_LINK45"/>
      <w:bookmarkStart w:id="103" w:name="OLE_LINK44"/>
      <w:r>
        <w:rPr>
          <w:rFonts w:hint="default" w:ascii="Times New Roman" w:hAnsi="Times New Roman" w:cs="Times New Roman"/>
          <w:color w:val="auto"/>
        </w:rPr>
        <w:t>生态产品价值实现机制基本建立</w:t>
      </w:r>
      <w:bookmarkEnd w:id="102"/>
      <w:bookmarkEnd w:id="103"/>
      <w:r>
        <w:rPr>
          <w:rFonts w:hint="default" w:ascii="Times New Roman" w:hAnsi="Times New Roman" w:cs="Times New Roman"/>
          <w:color w:val="auto"/>
        </w:rPr>
        <w:t>，全民生物多样性保护意识得到极大提高，长江大保护示范作用更加突出，绘就江风湖韵的美丽武汉新画卷。</w:t>
      </w:r>
    </w:p>
    <w:p w14:paraId="1662D083">
      <w:pPr>
        <w:pStyle w:val="3"/>
        <w:pageBreakBefore w:val="0"/>
        <w:widowControl w:val="0"/>
        <w:kinsoku/>
        <w:wordWrap/>
        <w:overflowPunct/>
        <w:topLinePunct w:val="0"/>
        <w:autoSpaceDE/>
        <w:autoSpaceDN/>
        <w:bidi w:val="0"/>
        <w:adjustRightInd/>
        <w:snapToGrid/>
        <w:spacing w:line="578"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具体指标见表3-1。</w:t>
      </w:r>
    </w:p>
    <w:p w14:paraId="6F495899">
      <w:pPr>
        <w:pStyle w:val="3"/>
        <w:ind w:firstLine="640"/>
        <w:rPr>
          <w:rFonts w:hint="default" w:ascii="Times New Roman" w:hAnsi="Times New Roman" w:cs="Times New Roman"/>
          <w:color w:val="auto"/>
          <w:sz w:val="28"/>
          <w:szCs w:val="21"/>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cs="Times New Roman"/>
          <w:color w:val="auto"/>
        </w:rPr>
        <w:br w:type="page"/>
      </w:r>
    </w:p>
    <w:p w14:paraId="5DF1F76D">
      <w:pPr>
        <w:widowControl/>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8"/>
          <w:szCs w:val="21"/>
        </w:rPr>
        <w:t>表3-1  武汉市生物多样性保护与可持续利用目标体系</w:t>
      </w:r>
    </w:p>
    <w:tbl>
      <w:tblPr>
        <w:tblStyle w:val="28"/>
        <w:tblW w:w="14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994"/>
        <w:gridCol w:w="718"/>
        <w:gridCol w:w="3431"/>
        <w:gridCol w:w="2263"/>
        <w:gridCol w:w="1565"/>
        <w:gridCol w:w="1565"/>
        <w:gridCol w:w="1565"/>
        <w:gridCol w:w="971"/>
      </w:tblGrid>
      <w:tr w14:paraId="0CE89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994" w:type="dxa"/>
            <w:vAlign w:val="center"/>
          </w:tcPr>
          <w:p w14:paraId="5D17AE12">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eastAsia="黑体" w:cs="Times New Roman"/>
                <w:color w:val="auto"/>
                <w:sz w:val="21"/>
                <w:szCs w:val="21"/>
              </w:rPr>
              <w:t>指标类别</w:t>
            </w:r>
          </w:p>
        </w:tc>
        <w:tc>
          <w:tcPr>
            <w:tcW w:w="718" w:type="dxa"/>
            <w:vAlign w:val="center"/>
          </w:tcPr>
          <w:p w14:paraId="12D42044">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eastAsia="黑体" w:cs="Times New Roman"/>
                <w:color w:val="auto"/>
                <w:sz w:val="21"/>
                <w:szCs w:val="21"/>
              </w:rPr>
              <w:t>序号</w:t>
            </w:r>
          </w:p>
        </w:tc>
        <w:tc>
          <w:tcPr>
            <w:tcW w:w="3431" w:type="dxa"/>
            <w:vAlign w:val="center"/>
          </w:tcPr>
          <w:p w14:paraId="5E7F22C9">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eastAsia="黑体" w:cs="Times New Roman"/>
                <w:color w:val="auto"/>
                <w:sz w:val="21"/>
                <w:szCs w:val="21"/>
              </w:rPr>
              <w:t>具体指标</w:t>
            </w:r>
          </w:p>
        </w:tc>
        <w:tc>
          <w:tcPr>
            <w:tcW w:w="2263" w:type="dxa"/>
            <w:vAlign w:val="center"/>
          </w:tcPr>
          <w:p w14:paraId="31CE7478">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eastAsia="黑体" w:cs="Times New Roman"/>
                <w:color w:val="auto"/>
                <w:sz w:val="21"/>
                <w:szCs w:val="21"/>
              </w:rPr>
              <w:t>2024年基准</w:t>
            </w:r>
          </w:p>
        </w:tc>
        <w:tc>
          <w:tcPr>
            <w:tcW w:w="1565" w:type="dxa"/>
            <w:vAlign w:val="center"/>
          </w:tcPr>
          <w:p w14:paraId="46C1C774">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eastAsia="黑体" w:cs="Times New Roman"/>
                <w:color w:val="auto"/>
                <w:sz w:val="21"/>
                <w:szCs w:val="21"/>
              </w:rPr>
              <w:t>2027年目标</w:t>
            </w:r>
          </w:p>
        </w:tc>
        <w:tc>
          <w:tcPr>
            <w:tcW w:w="1565" w:type="dxa"/>
            <w:vAlign w:val="center"/>
          </w:tcPr>
          <w:p w14:paraId="75BD2F14">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eastAsia="黑体" w:cs="Times New Roman"/>
                <w:color w:val="auto"/>
                <w:sz w:val="21"/>
                <w:szCs w:val="21"/>
              </w:rPr>
              <w:t>2030年目标</w:t>
            </w:r>
          </w:p>
        </w:tc>
        <w:tc>
          <w:tcPr>
            <w:tcW w:w="1565" w:type="dxa"/>
            <w:vAlign w:val="center"/>
          </w:tcPr>
          <w:p w14:paraId="672DA719">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eastAsia="黑体" w:cs="Times New Roman"/>
                <w:color w:val="auto"/>
                <w:sz w:val="21"/>
                <w:szCs w:val="21"/>
              </w:rPr>
              <w:t>2035年目标</w:t>
            </w:r>
          </w:p>
        </w:tc>
        <w:tc>
          <w:tcPr>
            <w:tcW w:w="971" w:type="dxa"/>
            <w:vAlign w:val="center"/>
          </w:tcPr>
          <w:p w14:paraId="7AE11040">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eastAsia="黑体" w:cs="Times New Roman"/>
                <w:color w:val="auto"/>
                <w:sz w:val="21"/>
                <w:szCs w:val="21"/>
              </w:rPr>
              <w:t>指标属性</w:t>
            </w:r>
          </w:p>
        </w:tc>
      </w:tr>
      <w:tr w14:paraId="17385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994" w:type="dxa"/>
            <w:vMerge w:val="restart"/>
            <w:vAlign w:val="center"/>
          </w:tcPr>
          <w:p w14:paraId="4C64C989">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生物多样性状况</w:t>
            </w:r>
          </w:p>
        </w:tc>
        <w:tc>
          <w:tcPr>
            <w:tcW w:w="718" w:type="dxa"/>
            <w:vAlign w:val="center"/>
          </w:tcPr>
          <w:p w14:paraId="1BACB6B7">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431" w:type="dxa"/>
            <w:vAlign w:val="center"/>
          </w:tcPr>
          <w:p w14:paraId="6719F9D4">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物种丰富度指数</w:t>
            </w:r>
            <w:r>
              <w:rPr>
                <w:rStyle w:val="32"/>
                <w:rFonts w:hint="default" w:ascii="Times New Roman" w:hAnsi="Times New Roman" w:cs="Times New Roman"/>
                <w:color w:val="auto"/>
                <w:sz w:val="21"/>
                <w:szCs w:val="21"/>
              </w:rPr>
              <w:footnoteReference w:id="3"/>
            </w:r>
          </w:p>
        </w:tc>
        <w:tc>
          <w:tcPr>
            <w:tcW w:w="2263" w:type="dxa"/>
            <w:vAlign w:val="center"/>
          </w:tcPr>
          <w:p w14:paraId="42A6F95A">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565" w:type="dxa"/>
            <w:vAlign w:val="center"/>
          </w:tcPr>
          <w:p w14:paraId="3EFFFB8B">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保持稳定</w:t>
            </w:r>
          </w:p>
        </w:tc>
        <w:tc>
          <w:tcPr>
            <w:tcW w:w="1565" w:type="dxa"/>
            <w:vAlign w:val="center"/>
          </w:tcPr>
          <w:p w14:paraId="42566012">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增加</w:t>
            </w:r>
          </w:p>
        </w:tc>
        <w:tc>
          <w:tcPr>
            <w:tcW w:w="1565" w:type="dxa"/>
            <w:vAlign w:val="center"/>
          </w:tcPr>
          <w:p w14:paraId="2D24CEBF">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保持稳定</w:t>
            </w:r>
          </w:p>
        </w:tc>
        <w:tc>
          <w:tcPr>
            <w:tcW w:w="971" w:type="dxa"/>
            <w:vAlign w:val="center"/>
          </w:tcPr>
          <w:p w14:paraId="497D2421">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预期性</w:t>
            </w:r>
          </w:p>
        </w:tc>
      </w:tr>
      <w:tr w14:paraId="37EE5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994" w:type="dxa"/>
            <w:vMerge w:val="continue"/>
            <w:vAlign w:val="center"/>
          </w:tcPr>
          <w:p w14:paraId="6336727A">
            <w:pPr>
              <w:spacing w:line="300" w:lineRule="exact"/>
              <w:ind w:firstLine="0" w:firstLineChars="0"/>
              <w:jc w:val="center"/>
              <w:rPr>
                <w:rFonts w:hint="default" w:ascii="Times New Roman" w:hAnsi="Times New Roman" w:cs="Times New Roman"/>
                <w:color w:val="auto"/>
                <w:sz w:val="21"/>
                <w:szCs w:val="21"/>
              </w:rPr>
            </w:pPr>
          </w:p>
        </w:tc>
        <w:tc>
          <w:tcPr>
            <w:tcW w:w="718" w:type="dxa"/>
            <w:vAlign w:val="center"/>
          </w:tcPr>
          <w:p w14:paraId="5343937B">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3431" w:type="dxa"/>
            <w:vAlign w:val="center"/>
          </w:tcPr>
          <w:p w14:paraId="42F7F212">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重点物种保护指数</w:t>
            </w:r>
          </w:p>
        </w:tc>
        <w:tc>
          <w:tcPr>
            <w:tcW w:w="2263" w:type="dxa"/>
            <w:vAlign w:val="center"/>
          </w:tcPr>
          <w:p w14:paraId="70E5EAEC">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565" w:type="dxa"/>
            <w:vAlign w:val="center"/>
          </w:tcPr>
          <w:p w14:paraId="5993D500">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保持稳定</w:t>
            </w:r>
          </w:p>
        </w:tc>
        <w:tc>
          <w:tcPr>
            <w:tcW w:w="1565" w:type="dxa"/>
            <w:vAlign w:val="center"/>
          </w:tcPr>
          <w:p w14:paraId="17C117C0">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增加</w:t>
            </w:r>
          </w:p>
        </w:tc>
        <w:tc>
          <w:tcPr>
            <w:tcW w:w="1565" w:type="dxa"/>
            <w:vAlign w:val="center"/>
          </w:tcPr>
          <w:p w14:paraId="7EFA514D">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保持稳定</w:t>
            </w:r>
          </w:p>
        </w:tc>
        <w:tc>
          <w:tcPr>
            <w:tcW w:w="971" w:type="dxa"/>
            <w:vAlign w:val="center"/>
          </w:tcPr>
          <w:p w14:paraId="482B8B9D">
            <w:pPr>
              <w:spacing w:line="300" w:lineRule="exact"/>
              <w:ind w:firstLine="0" w:firstLineChars="0"/>
              <w:jc w:val="center"/>
              <w:rPr>
                <w:rFonts w:hint="default" w:ascii="Times New Roman" w:hAnsi="Times New Roman" w:cs="Times New Roman"/>
                <w:color w:val="auto"/>
                <w:sz w:val="21"/>
                <w:szCs w:val="21"/>
              </w:rPr>
            </w:pPr>
            <w:bookmarkStart w:id="104" w:name="OLE_LINK47"/>
            <w:bookmarkStart w:id="105" w:name="OLE_LINK46"/>
            <w:r>
              <w:rPr>
                <w:rFonts w:hint="default" w:ascii="Times New Roman" w:hAnsi="Times New Roman" w:cs="Times New Roman"/>
                <w:color w:val="auto"/>
                <w:sz w:val="21"/>
                <w:szCs w:val="21"/>
              </w:rPr>
              <w:t>预期性</w:t>
            </w:r>
            <w:bookmarkEnd w:id="104"/>
            <w:bookmarkEnd w:id="105"/>
          </w:p>
        </w:tc>
      </w:tr>
      <w:tr w14:paraId="16AA5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994" w:type="dxa"/>
            <w:vMerge w:val="continue"/>
            <w:vAlign w:val="center"/>
          </w:tcPr>
          <w:p w14:paraId="208CA247">
            <w:pPr>
              <w:spacing w:line="300" w:lineRule="exact"/>
              <w:ind w:firstLine="0" w:firstLineChars="0"/>
              <w:jc w:val="center"/>
              <w:rPr>
                <w:rFonts w:hint="default" w:ascii="Times New Roman" w:hAnsi="Times New Roman" w:cs="Times New Roman"/>
                <w:color w:val="auto"/>
                <w:sz w:val="21"/>
                <w:szCs w:val="21"/>
              </w:rPr>
            </w:pPr>
          </w:p>
        </w:tc>
        <w:tc>
          <w:tcPr>
            <w:tcW w:w="718" w:type="dxa"/>
            <w:vAlign w:val="center"/>
          </w:tcPr>
          <w:p w14:paraId="65254F07">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3431" w:type="dxa"/>
            <w:vAlign w:val="center"/>
          </w:tcPr>
          <w:p w14:paraId="1C969CD1">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湿地保有量（平方千米）</w:t>
            </w:r>
            <w:r>
              <w:rPr>
                <w:rStyle w:val="32"/>
                <w:rFonts w:hint="default" w:ascii="Times New Roman" w:hAnsi="Times New Roman" w:cs="Times New Roman"/>
                <w:color w:val="auto"/>
                <w:sz w:val="21"/>
                <w:szCs w:val="21"/>
              </w:rPr>
              <w:footnoteReference w:id="4"/>
            </w:r>
          </w:p>
        </w:tc>
        <w:tc>
          <w:tcPr>
            <w:tcW w:w="2263" w:type="dxa"/>
            <w:vAlign w:val="center"/>
          </w:tcPr>
          <w:p w14:paraId="27D765F4">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2278</w:t>
            </w:r>
          </w:p>
        </w:tc>
        <w:tc>
          <w:tcPr>
            <w:tcW w:w="4695" w:type="dxa"/>
            <w:gridSpan w:val="3"/>
            <w:vAlign w:val="center"/>
          </w:tcPr>
          <w:p w14:paraId="682944F0">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按照上级下达任务落实</w:t>
            </w:r>
          </w:p>
        </w:tc>
        <w:tc>
          <w:tcPr>
            <w:tcW w:w="971" w:type="dxa"/>
            <w:vAlign w:val="center"/>
          </w:tcPr>
          <w:p w14:paraId="2C180523">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约束性</w:t>
            </w:r>
          </w:p>
        </w:tc>
      </w:tr>
      <w:tr w14:paraId="70EEC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994" w:type="dxa"/>
            <w:vMerge w:val="continue"/>
            <w:vAlign w:val="center"/>
          </w:tcPr>
          <w:p w14:paraId="35B6B56F">
            <w:pPr>
              <w:spacing w:line="300" w:lineRule="exact"/>
              <w:ind w:firstLine="0" w:firstLineChars="0"/>
              <w:jc w:val="center"/>
              <w:rPr>
                <w:rFonts w:hint="default" w:ascii="Times New Roman" w:hAnsi="Times New Roman" w:cs="Times New Roman"/>
                <w:color w:val="auto"/>
                <w:sz w:val="21"/>
                <w:szCs w:val="21"/>
              </w:rPr>
            </w:pPr>
          </w:p>
        </w:tc>
        <w:tc>
          <w:tcPr>
            <w:tcW w:w="718" w:type="dxa"/>
            <w:vAlign w:val="center"/>
          </w:tcPr>
          <w:p w14:paraId="41B1F0F5">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3431" w:type="dxa"/>
            <w:vAlign w:val="center"/>
          </w:tcPr>
          <w:p w14:paraId="3C373B4D">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森林覆盖率（%）</w:t>
            </w:r>
            <w:r>
              <w:rPr>
                <w:rStyle w:val="32"/>
                <w:rFonts w:hint="default" w:ascii="Times New Roman" w:hAnsi="Times New Roman" w:cs="Times New Roman"/>
                <w:color w:val="auto"/>
                <w:sz w:val="21"/>
                <w:szCs w:val="21"/>
              </w:rPr>
              <w:footnoteReference w:id="5"/>
            </w:r>
          </w:p>
        </w:tc>
        <w:tc>
          <w:tcPr>
            <w:tcW w:w="2263" w:type="dxa"/>
            <w:vAlign w:val="center"/>
          </w:tcPr>
          <w:p w14:paraId="2C4031FE">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14.69（2020年）</w:t>
            </w:r>
          </w:p>
        </w:tc>
        <w:tc>
          <w:tcPr>
            <w:tcW w:w="1565" w:type="dxa"/>
            <w:vAlign w:val="center"/>
          </w:tcPr>
          <w:p w14:paraId="5DD43542">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≥14.79</w:t>
            </w:r>
          </w:p>
        </w:tc>
        <w:tc>
          <w:tcPr>
            <w:tcW w:w="3130" w:type="dxa"/>
            <w:gridSpan w:val="2"/>
            <w:vAlign w:val="center"/>
          </w:tcPr>
          <w:p w14:paraId="4B208CBA">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按照上级下达任务确定</w:t>
            </w:r>
          </w:p>
        </w:tc>
        <w:tc>
          <w:tcPr>
            <w:tcW w:w="971" w:type="dxa"/>
            <w:vAlign w:val="center"/>
          </w:tcPr>
          <w:p w14:paraId="493DCEAA">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预期性</w:t>
            </w:r>
          </w:p>
        </w:tc>
      </w:tr>
      <w:tr w14:paraId="4A919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994" w:type="dxa"/>
            <w:vMerge w:val="continue"/>
            <w:vAlign w:val="center"/>
          </w:tcPr>
          <w:p w14:paraId="7B01E535">
            <w:pPr>
              <w:spacing w:line="300" w:lineRule="exact"/>
              <w:ind w:firstLine="0" w:firstLineChars="0"/>
              <w:jc w:val="center"/>
              <w:rPr>
                <w:rFonts w:hint="default" w:ascii="Times New Roman" w:hAnsi="Times New Roman" w:cs="Times New Roman"/>
                <w:color w:val="auto"/>
                <w:sz w:val="21"/>
                <w:szCs w:val="21"/>
              </w:rPr>
            </w:pPr>
          </w:p>
        </w:tc>
        <w:tc>
          <w:tcPr>
            <w:tcW w:w="718" w:type="dxa"/>
            <w:vAlign w:val="center"/>
          </w:tcPr>
          <w:p w14:paraId="4673A8A4">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3431" w:type="dxa"/>
            <w:vAlign w:val="center"/>
          </w:tcPr>
          <w:p w14:paraId="7AF85020">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生态保护红线面积（平方千米）</w:t>
            </w:r>
          </w:p>
        </w:tc>
        <w:tc>
          <w:tcPr>
            <w:tcW w:w="2263" w:type="dxa"/>
            <w:vAlign w:val="center"/>
          </w:tcPr>
          <w:p w14:paraId="5802F24C">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794.54</w:t>
            </w:r>
          </w:p>
        </w:tc>
        <w:tc>
          <w:tcPr>
            <w:tcW w:w="1565" w:type="dxa"/>
            <w:vAlign w:val="center"/>
          </w:tcPr>
          <w:p w14:paraId="4ECF696D">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≥794.54</w:t>
            </w:r>
          </w:p>
        </w:tc>
        <w:tc>
          <w:tcPr>
            <w:tcW w:w="1565" w:type="dxa"/>
            <w:vAlign w:val="center"/>
          </w:tcPr>
          <w:p w14:paraId="5B3AC2CC">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≥794.54</w:t>
            </w:r>
          </w:p>
        </w:tc>
        <w:tc>
          <w:tcPr>
            <w:tcW w:w="1565" w:type="dxa"/>
            <w:vAlign w:val="center"/>
          </w:tcPr>
          <w:p w14:paraId="779DA087">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≥794.54</w:t>
            </w:r>
          </w:p>
        </w:tc>
        <w:tc>
          <w:tcPr>
            <w:tcW w:w="971" w:type="dxa"/>
            <w:vAlign w:val="center"/>
          </w:tcPr>
          <w:p w14:paraId="220DDF03">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约束性</w:t>
            </w:r>
          </w:p>
        </w:tc>
      </w:tr>
      <w:tr w14:paraId="35709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994" w:type="dxa"/>
            <w:vMerge w:val="restart"/>
            <w:vAlign w:val="center"/>
          </w:tcPr>
          <w:p w14:paraId="4E075D6A">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生物多样性</w:t>
            </w:r>
          </w:p>
          <w:p w14:paraId="5BE940BB">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治理能力</w:t>
            </w:r>
          </w:p>
        </w:tc>
        <w:tc>
          <w:tcPr>
            <w:tcW w:w="718" w:type="dxa"/>
            <w:vAlign w:val="center"/>
          </w:tcPr>
          <w:p w14:paraId="6EFBBF88">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3431" w:type="dxa"/>
            <w:vAlign w:val="center"/>
          </w:tcPr>
          <w:p w14:paraId="4C969282">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建成区绿地率（%）</w:t>
            </w:r>
            <w:r>
              <w:rPr>
                <w:rStyle w:val="32"/>
                <w:rFonts w:hint="default" w:ascii="Times New Roman" w:hAnsi="Times New Roman" w:cs="Times New Roman"/>
                <w:color w:val="auto"/>
                <w:sz w:val="21"/>
                <w:szCs w:val="21"/>
              </w:rPr>
              <w:footnoteReference w:id="6"/>
            </w:r>
          </w:p>
        </w:tc>
        <w:tc>
          <w:tcPr>
            <w:tcW w:w="2263" w:type="dxa"/>
            <w:vAlign w:val="center"/>
          </w:tcPr>
          <w:p w14:paraId="517B53C2">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37.05（2020年）</w:t>
            </w:r>
          </w:p>
        </w:tc>
        <w:tc>
          <w:tcPr>
            <w:tcW w:w="1565" w:type="dxa"/>
            <w:vAlign w:val="center"/>
          </w:tcPr>
          <w:p w14:paraId="22960C19">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40.05</w:t>
            </w:r>
          </w:p>
        </w:tc>
        <w:tc>
          <w:tcPr>
            <w:tcW w:w="1565" w:type="dxa"/>
            <w:vAlign w:val="center"/>
          </w:tcPr>
          <w:p w14:paraId="2EEDDE05">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≥40.05</w:t>
            </w:r>
          </w:p>
        </w:tc>
        <w:tc>
          <w:tcPr>
            <w:tcW w:w="1565" w:type="dxa"/>
            <w:vAlign w:val="center"/>
          </w:tcPr>
          <w:p w14:paraId="62FFFE6D">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≥40.05</w:t>
            </w:r>
          </w:p>
        </w:tc>
        <w:tc>
          <w:tcPr>
            <w:tcW w:w="971" w:type="dxa"/>
            <w:vAlign w:val="center"/>
          </w:tcPr>
          <w:p w14:paraId="5B343B9C">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预期性</w:t>
            </w:r>
          </w:p>
        </w:tc>
      </w:tr>
      <w:tr w14:paraId="0C52D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994" w:type="dxa"/>
            <w:vMerge w:val="continue"/>
            <w:vAlign w:val="center"/>
          </w:tcPr>
          <w:p w14:paraId="1D3AFC3F">
            <w:pPr>
              <w:spacing w:line="300" w:lineRule="exact"/>
              <w:ind w:firstLine="0" w:firstLineChars="0"/>
              <w:jc w:val="center"/>
              <w:rPr>
                <w:rFonts w:hint="default" w:ascii="Times New Roman" w:hAnsi="Times New Roman" w:cs="Times New Roman"/>
                <w:color w:val="auto"/>
                <w:sz w:val="21"/>
                <w:szCs w:val="21"/>
              </w:rPr>
            </w:pPr>
          </w:p>
        </w:tc>
        <w:tc>
          <w:tcPr>
            <w:tcW w:w="718" w:type="dxa"/>
            <w:vAlign w:val="center"/>
          </w:tcPr>
          <w:p w14:paraId="53FC1C08">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3431" w:type="dxa"/>
            <w:vAlign w:val="center"/>
          </w:tcPr>
          <w:p w14:paraId="70BD5ABF">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全域生物多样性本底调查</w:t>
            </w:r>
          </w:p>
        </w:tc>
        <w:tc>
          <w:tcPr>
            <w:tcW w:w="2263" w:type="dxa"/>
            <w:vAlign w:val="center"/>
          </w:tcPr>
          <w:p w14:paraId="601FDFB5">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已完成蔡甸区</w:t>
            </w:r>
          </w:p>
        </w:tc>
        <w:tc>
          <w:tcPr>
            <w:tcW w:w="1565" w:type="dxa"/>
            <w:vAlign w:val="center"/>
          </w:tcPr>
          <w:p w14:paraId="0BA12498">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全面启动第1轮</w:t>
            </w:r>
          </w:p>
        </w:tc>
        <w:tc>
          <w:tcPr>
            <w:tcW w:w="1565" w:type="dxa"/>
            <w:vAlign w:val="center"/>
          </w:tcPr>
          <w:p w14:paraId="0C73CBCE">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完成第1轮</w:t>
            </w:r>
          </w:p>
        </w:tc>
        <w:tc>
          <w:tcPr>
            <w:tcW w:w="1565" w:type="dxa"/>
            <w:vAlign w:val="center"/>
          </w:tcPr>
          <w:p w14:paraId="65C10546">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全面启动第2轮</w:t>
            </w:r>
          </w:p>
        </w:tc>
        <w:tc>
          <w:tcPr>
            <w:tcW w:w="971" w:type="dxa"/>
            <w:vAlign w:val="center"/>
          </w:tcPr>
          <w:p w14:paraId="2A1F72A9">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约束性</w:t>
            </w:r>
          </w:p>
        </w:tc>
      </w:tr>
      <w:tr w14:paraId="20BEF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994" w:type="dxa"/>
            <w:vMerge w:val="continue"/>
            <w:vAlign w:val="center"/>
          </w:tcPr>
          <w:p w14:paraId="28635E5A">
            <w:pPr>
              <w:spacing w:line="300" w:lineRule="exact"/>
              <w:ind w:firstLine="0" w:firstLineChars="0"/>
              <w:jc w:val="center"/>
              <w:rPr>
                <w:rFonts w:hint="default" w:ascii="Times New Roman" w:hAnsi="Times New Roman" w:cs="Times New Roman"/>
                <w:color w:val="auto"/>
                <w:sz w:val="21"/>
                <w:szCs w:val="21"/>
              </w:rPr>
            </w:pPr>
          </w:p>
        </w:tc>
        <w:tc>
          <w:tcPr>
            <w:tcW w:w="718" w:type="dxa"/>
            <w:vAlign w:val="center"/>
          </w:tcPr>
          <w:p w14:paraId="2CA23E88">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3431" w:type="dxa"/>
            <w:vAlign w:val="center"/>
          </w:tcPr>
          <w:p w14:paraId="69CD5513">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动植物种质资源库等迁地保护体系</w:t>
            </w:r>
          </w:p>
        </w:tc>
        <w:tc>
          <w:tcPr>
            <w:tcW w:w="2263" w:type="dxa"/>
            <w:vAlign w:val="center"/>
          </w:tcPr>
          <w:p w14:paraId="682CE94A">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565" w:type="dxa"/>
            <w:vAlign w:val="center"/>
          </w:tcPr>
          <w:p w14:paraId="0529A065">
            <w:pPr>
              <w:spacing w:line="300" w:lineRule="exact"/>
              <w:ind w:firstLine="0" w:firstLineChars="0"/>
              <w:jc w:val="both"/>
              <w:rPr>
                <w:rFonts w:hint="default" w:ascii="Times New Roman" w:hAnsi="Times New Roman" w:cs="Times New Roman"/>
                <w:color w:val="auto"/>
                <w:sz w:val="21"/>
                <w:szCs w:val="21"/>
              </w:rPr>
            </w:pPr>
            <w:bookmarkStart w:id="106" w:name="OLE_LINK11"/>
            <w:r>
              <w:rPr>
                <w:rFonts w:hint="default" w:ascii="Times New Roman" w:hAnsi="Times New Roman" w:cs="Times New Roman"/>
                <w:color w:val="auto"/>
                <w:sz w:val="21"/>
                <w:szCs w:val="21"/>
              </w:rPr>
              <w:t>初步建成</w:t>
            </w:r>
            <w:bookmarkEnd w:id="106"/>
          </w:p>
        </w:tc>
        <w:tc>
          <w:tcPr>
            <w:tcW w:w="1565" w:type="dxa"/>
            <w:vAlign w:val="center"/>
          </w:tcPr>
          <w:p w14:paraId="0E4342E6">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逐步完善</w:t>
            </w:r>
          </w:p>
        </w:tc>
        <w:tc>
          <w:tcPr>
            <w:tcW w:w="1565" w:type="dxa"/>
            <w:vAlign w:val="center"/>
          </w:tcPr>
          <w:p w14:paraId="70D865AF">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逐步完善</w:t>
            </w:r>
          </w:p>
        </w:tc>
        <w:tc>
          <w:tcPr>
            <w:tcW w:w="971" w:type="dxa"/>
            <w:vAlign w:val="center"/>
          </w:tcPr>
          <w:p w14:paraId="6F22C3B8">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预期性</w:t>
            </w:r>
          </w:p>
        </w:tc>
      </w:tr>
      <w:tr w14:paraId="576C1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994" w:type="dxa"/>
            <w:vMerge w:val="continue"/>
            <w:vAlign w:val="center"/>
          </w:tcPr>
          <w:p w14:paraId="114A8EB0">
            <w:pPr>
              <w:spacing w:line="300" w:lineRule="exact"/>
              <w:ind w:firstLine="0" w:firstLineChars="0"/>
              <w:jc w:val="center"/>
              <w:rPr>
                <w:rFonts w:hint="default" w:ascii="Times New Roman" w:hAnsi="Times New Roman" w:cs="Times New Roman"/>
                <w:color w:val="auto"/>
                <w:sz w:val="21"/>
                <w:szCs w:val="21"/>
              </w:rPr>
            </w:pPr>
          </w:p>
        </w:tc>
        <w:tc>
          <w:tcPr>
            <w:tcW w:w="718" w:type="dxa"/>
            <w:vAlign w:val="center"/>
          </w:tcPr>
          <w:p w14:paraId="55528858">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3431" w:type="dxa"/>
            <w:vAlign w:val="center"/>
          </w:tcPr>
          <w:p w14:paraId="33F384EE">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生态质量指数（EQI）</w:t>
            </w:r>
            <w:r>
              <w:rPr>
                <w:rStyle w:val="32"/>
                <w:rFonts w:hint="default" w:ascii="Times New Roman" w:hAnsi="Times New Roman" w:cs="Times New Roman"/>
                <w:color w:val="auto"/>
                <w:sz w:val="21"/>
                <w:szCs w:val="21"/>
              </w:rPr>
              <w:footnoteReference w:id="7"/>
            </w:r>
          </w:p>
        </w:tc>
        <w:tc>
          <w:tcPr>
            <w:tcW w:w="2263" w:type="dxa"/>
            <w:vAlign w:val="center"/>
          </w:tcPr>
          <w:p w14:paraId="4D5727DC">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49.6</w:t>
            </w:r>
          </w:p>
        </w:tc>
        <w:tc>
          <w:tcPr>
            <w:tcW w:w="1565" w:type="dxa"/>
            <w:vAlign w:val="center"/>
          </w:tcPr>
          <w:p w14:paraId="603B5FE3">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保持稳定</w:t>
            </w:r>
          </w:p>
        </w:tc>
        <w:tc>
          <w:tcPr>
            <w:tcW w:w="1565" w:type="dxa"/>
            <w:vAlign w:val="center"/>
          </w:tcPr>
          <w:p w14:paraId="3571A99A">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保持稳定</w:t>
            </w:r>
          </w:p>
        </w:tc>
        <w:tc>
          <w:tcPr>
            <w:tcW w:w="1565" w:type="dxa"/>
            <w:vAlign w:val="center"/>
          </w:tcPr>
          <w:p w14:paraId="43408F8C">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保持稳定</w:t>
            </w:r>
          </w:p>
        </w:tc>
        <w:tc>
          <w:tcPr>
            <w:tcW w:w="971" w:type="dxa"/>
            <w:vAlign w:val="center"/>
          </w:tcPr>
          <w:p w14:paraId="005CFCD2">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预期性</w:t>
            </w:r>
          </w:p>
        </w:tc>
      </w:tr>
      <w:tr w14:paraId="4739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994" w:type="dxa"/>
            <w:vMerge w:val="restart"/>
            <w:vAlign w:val="center"/>
          </w:tcPr>
          <w:p w14:paraId="3FBB21B3">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生物多样性</w:t>
            </w:r>
          </w:p>
          <w:p w14:paraId="6FB97BB1">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可持续利用水平</w:t>
            </w:r>
          </w:p>
        </w:tc>
        <w:tc>
          <w:tcPr>
            <w:tcW w:w="718" w:type="dxa"/>
            <w:vAlign w:val="center"/>
          </w:tcPr>
          <w:p w14:paraId="7501B80D">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3431" w:type="dxa"/>
            <w:vAlign w:val="center"/>
          </w:tcPr>
          <w:p w14:paraId="6FF70D0E">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生物多样性开放地和体验地（个）</w:t>
            </w:r>
            <w:r>
              <w:rPr>
                <w:rStyle w:val="32"/>
                <w:rFonts w:hint="default" w:ascii="Times New Roman" w:hAnsi="Times New Roman" w:cs="Times New Roman"/>
                <w:color w:val="auto"/>
                <w:sz w:val="21"/>
                <w:szCs w:val="21"/>
              </w:rPr>
              <w:footnoteReference w:id="8"/>
            </w:r>
          </w:p>
        </w:tc>
        <w:tc>
          <w:tcPr>
            <w:tcW w:w="2263" w:type="dxa"/>
            <w:vAlign w:val="center"/>
          </w:tcPr>
          <w:p w14:paraId="7EB3DEA6">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1565" w:type="dxa"/>
            <w:vAlign w:val="center"/>
          </w:tcPr>
          <w:p w14:paraId="0DCDF2BF">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565" w:type="dxa"/>
            <w:vAlign w:val="center"/>
          </w:tcPr>
          <w:p w14:paraId="0A780967">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1565" w:type="dxa"/>
            <w:vAlign w:val="center"/>
          </w:tcPr>
          <w:p w14:paraId="496F3CBA">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971" w:type="dxa"/>
            <w:vAlign w:val="center"/>
          </w:tcPr>
          <w:p w14:paraId="7C0D86E1">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预期性</w:t>
            </w:r>
          </w:p>
        </w:tc>
      </w:tr>
      <w:tr w14:paraId="6B2B2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994" w:type="dxa"/>
            <w:vMerge w:val="continue"/>
            <w:vAlign w:val="center"/>
          </w:tcPr>
          <w:p w14:paraId="273684CD">
            <w:pPr>
              <w:spacing w:line="300" w:lineRule="exact"/>
              <w:ind w:firstLine="0" w:firstLineChars="0"/>
              <w:jc w:val="center"/>
              <w:rPr>
                <w:rFonts w:hint="default" w:ascii="Times New Roman" w:hAnsi="Times New Roman" w:cs="Times New Roman"/>
                <w:color w:val="auto"/>
                <w:sz w:val="21"/>
                <w:szCs w:val="21"/>
              </w:rPr>
            </w:pPr>
          </w:p>
        </w:tc>
        <w:tc>
          <w:tcPr>
            <w:tcW w:w="718" w:type="dxa"/>
            <w:vAlign w:val="center"/>
          </w:tcPr>
          <w:p w14:paraId="397737A4">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3431" w:type="dxa"/>
            <w:vAlign w:val="center"/>
          </w:tcPr>
          <w:p w14:paraId="68BAF46C">
            <w:pPr>
              <w:spacing w:line="300" w:lineRule="exact"/>
              <w:ind w:firstLine="0" w:firstLineChars="0"/>
              <w:jc w:val="both"/>
              <w:rPr>
                <w:rFonts w:hint="default" w:ascii="Times New Roman" w:hAnsi="Times New Roman" w:cs="Times New Roman"/>
                <w:color w:val="auto"/>
                <w:sz w:val="21"/>
                <w:szCs w:val="21"/>
              </w:rPr>
            </w:pPr>
            <w:bookmarkStart w:id="107" w:name="OLE_LINK43"/>
            <w:r>
              <w:rPr>
                <w:rFonts w:hint="default" w:ascii="Times New Roman" w:hAnsi="Times New Roman" w:cs="Times New Roman"/>
                <w:color w:val="auto"/>
                <w:sz w:val="21"/>
                <w:szCs w:val="21"/>
              </w:rPr>
              <w:t>生态产品价值</w:t>
            </w:r>
            <w:bookmarkEnd w:id="107"/>
            <w:r>
              <w:rPr>
                <w:rFonts w:hint="default" w:ascii="Times New Roman" w:hAnsi="Times New Roman" w:cs="Times New Roman"/>
                <w:color w:val="auto"/>
                <w:sz w:val="21"/>
                <w:szCs w:val="21"/>
              </w:rPr>
              <w:t>实现机制</w:t>
            </w:r>
          </w:p>
        </w:tc>
        <w:tc>
          <w:tcPr>
            <w:tcW w:w="2263" w:type="dxa"/>
            <w:vAlign w:val="center"/>
          </w:tcPr>
          <w:p w14:paraId="24CFA571">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565" w:type="dxa"/>
            <w:vAlign w:val="center"/>
          </w:tcPr>
          <w:p w14:paraId="646034A4">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初步建成</w:t>
            </w:r>
          </w:p>
        </w:tc>
        <w:tc>
          <w:tcPr>
            <w:tcW w:w="1565" w:type="dxa"/>
            <w:vAlign w:val="center"/>
          </w:tcPr>
          <w:p w14:paraId="3D535F73">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逐步完善</w:t>
            </w:r>
          </w:p>
        </w:tc>
        <w:tc>
          <w:tcPr>
            <w:tcW w:w="1565" w:type="dxa"/>
            <w:vAlign w:val="center"/>
          </w:tcPr>
          <w:p w14:paraId="72318A0B">
            <w:pPr>
              <w:spacing w:line="30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基本建立</w:t>
            </w:r>
          </w:p>
        </w:tc>
        <w:tc>
          <w:tcPr>
            <w:tcW w:w="971" w:type="dxa"/>
            <w:vAlign w:val="center"/>
          </w:tcPr>
          <w:p w14:paraId="52F88745">
            <w:pPr>
              <w:spacing w:line="3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预期性</w:t>
            </w:r>
          </w:p>
        </w:tc>
      </w:tr>
    </w:tbl>
    <w:p w14:paraId="481B163B">
      <w:pPr>
        <w:ind w:firstLine="640"/>
        <w:rPr>
          <w:rFonts w:hint="default" w:ascii="Times New Roman" w:hAnsi="Times New Roman" w:cs="Times New Roman"/>
          <w:color w:val="auto"/>
        </w:rPr>
        <w:sectPr>
          <w:pgSz w:w="16838" w:h="11906" w:orient="landscape"/>
          <w:pgMar w:top="1701" w:right="1440" w:bottom="1418" w:left="1440" w:header="851" w:footer="992" w:gutter="0"/>
          <w:pgNumType w:fmt="numberInDash"/>
          <w:cols w:space="425" w:num="1"/>
          <w:docGrid w:type="linesAndChars" w:linePitch="312" w:charSpace="0"/>
        </w:sectPr>
      </w:pPr>
      <w:bookmarkStart w:id="108" w:name="_Toc147668060"/>
      <w:bookmarkStart w:id="109" w:name="_Toc2656"/>
      <w:bookmarkStart w:id="110" w:name="_Toc2559"/>
      <w:bookmarkStart w:id="111" w:name="_Toc11388"/>
      <w:bookmarkStart w:id="112" w:name="_Toc17172"/>
      <w:bookmarkStart w:id="113" w:name="_Toc2677"/>
    </w:p>
    <w:p w14:paraId="3B5D247D">
      <w:pPr>
        <w:pStyle w:val="6"/>
        <w:ind w:firstLine="640"/>
        <w:jc w:val="both"/>
        <w:rPr>
          <w:rFonts w:hint="default" w:ascii="Times New Roman" w:hAnsi="Times New Roman" w:cs="Times New Roman"/>
          <w:b w:val="0"/>
          <w:bCs w:val="0"/>
          <w:color w:val="auto"/>
        </w:rPr>
      </w:pPr>
      <w:bookmarkStart w:id="114" w:name="_Toc194476140"/>
      <w:r>
        <w:rPr>
          <w:rFonts w:hint="default" w:ascii="Times New Roman" w:hAnsi="Times New Roman" w:cs="Times New Roman"/>
          <w:b w:val="0"/>
          <w:bCs w:val="0"/>
          <w:color w:val="auto"/>
        </w:rPr>
        <w:t>（六）主要任务</w:t>
      </w:r>
      <w:bookmarkEnd w:id="108"/>
      <w:bookmarkEnd w:id="109"/>
      <w:bookmarkEnd w:id="110"/>
      <w:bookmarkEnd w:id="111"/>
      <w:bookmarkEnd w:id="112"/>
      <w:bookmarkEnd w:id="113"/>
      <w:bookmarkEnd w:id="114"/>
    </w:p>
    <w:p w14:paraId="382BF82B">
      <w:pPr>
        <w:pStyle w:val="7"/>
        <w:ind w:firstLine="640"/>
        <w:jc w:val="both"/>
        <w:rPr>
          <w:rFonts w:hint="default" w:ascii="Times New Roman" w:hAnsi="Times New Roman" w:cs="Times New Roman"/>
          <w:b w:val="0"/>
          <w:bCs w:val="0"/>
          <w:color w:val="auto"/>
        </w:rPr>
      </w:pPr>
      <w:bookmarkStart w:id="115" w:name="_Toc147668061"/>
      <w:bookmarkStart w:id="116" w:name="_Toc1845"/>
      <w:bookmarkStart w:id="117" w:name="_Toc9944"/>
      <w:r>
        <w:rPr>
          <w:rFonts w:hint="default" w:ascii="Times New Roman" w:hAnsi="Times New Roman" w:cs="Times New Roman"/>
          <w:b w:val="0"/>
          <w:bCs w:val="0"/>
          <w:color w:val="auto"/>
        </w:rPr>
        <w:t>1.全面提升生物多样性保护监管能力</w:t>
      </w:r>
      <w:bookmarkEnd w:id="115"/>
      <w:bookmarkEnd w:id="116"/>
      <w:bookmarkEnd w:id="117"/>
    </w:p>
    <w:p w14:paraId="577419C6">
      <w:pPr>
        <w:ind w:firstLine="640"/>
        <w:jc w:val="both"/>
        <w:rPr>
          <w:rFonts w:hint="default" w:ascii="Times New Roman" w:hAnsi="Times New Roman" w:cs="Times New Roman"/>
          <w:color w:val="auto"/>
        </w:rPr>
      </w:pPr>
      <w:r>
        <w:rPr>
          <w:rFonts w:hint="default" w:ascii="Times New Roman" w:hAnsi="Times New Roman" w:cs="Times New Roman"/>
          <w:color w:val="auto"/>
        </w:rPr>
        <w:t>开展武汉全域生物多样性调查与编目，建立生物多样性数据库，构建武汉市生物多样性监测体系。整合优化以自然保护地为主体的就地保护体系，完善迁地保护体系。建立健全外来入侵物种、病源和疫源微生物、转基因生物的监测预警和安全管理。提升野生动植物保护执法能力，严厉打击偷猎、非法采挖等违法违规行为。</w:t>
      </w:r>
    </w:p>
    <w:p w14:paraId="14F6E4E0">
      <w:pPr>
        <w:pStyle w:val="7"/>
        <w:ind w:firstLine="640"/>
        <w:jc w:val="both"/>
        <w:rPr>
          <w:rFonts w:hint="default" w:ascii="Times New Roman" w:hAnsi="Times New Roman" w:cs="Times New Roman"/>
          <w:b w:val="0"/>
          <w:bCs w:val="0"/>
          <w:color w:val="auto"/>
        </w:rPr>
      </w:pPr>
      <w:bookmarkStart w:id="118" w:name="_Toc13529"/>
      <w:bookmarkStart w:id="119" w:name="_Toc4347"/>
      <w:bookmarkStart w:id="120" w:name="_Toc147668062"/>
      <w:r>
        <w:rPr>
          <w:rFonts w:hint="default" w:ascii="Times New Roman" w:hAnsi="Times New Roman" w:cs="Times New Roman"/>
          <w:b w:val="0"/>
          <w:bCs w:val="0"/>
          <w:color w:val="auto"/>
        </w:rPr>
        <w:t>2.建立健全政策法规体系和管理体制</w:t>
      </w:r>
      <w:bookmarkEnd w:id="118"/>
      <w:bookmarkEnd w:id="119"/>
      <w:bookmarkEnd w:id="120"/>
    </w:p>
    <w:p w14:paraId="3DE4B1D5">
      <w:pPr>
        <w:ind w:firstLine="640"/>
        <w:jc w:val="both"/>
        <w:rPr>
          <w:rFonts w:hint="default" w:ascii="Times New Roman" w:hAnsi="Times New Roman" w:cs="Times New Roman"/>
          <w:color w:val="auto"/>
        </w:rPr>
      </w:pPr>
      <w:r>
        <w:rPr>
          <w:rFonts w:hint="default" w:ascii="Times New Roman" w:hAnsi="Times New Roman" w:cs="Times New Roman"/>
          <w:color w:val="auto"/>
        </w:rPr>
        <w:t>完善武汉市生物多样性保护相关政策、法规和制度，围绕贯彻落实生态环境法典，健全生物多样性保护和可持续利用地方法规体系，建立健全部门协调、联动工作机制。创新生物多样性保护管理体制与机制，将生物多样性保护和可持续利用相关内容纳入区域和行业规划。建立生态保护补偿等长效激励机制，广泛调动公众参与生物多样性保护的积极性。</w:t>
      </w:r>
    </w:p>
    <w:p w14:paraId="0022A8E0">
      <w:pPr>
        <w:pStyle w:val="7"/>
        <w:ind w:firstLine="640"/>
        <w:jc w:val="both"/>
        <w:rPr>
          <w:rFonts w:hint="default" w:ascii="Times New Roman" w:hAnsi="Times New Roman" w:cs="Times New Roman"/>
          <w:b w:val="0"/>
          <w:bCs w:val="0"/>
          <w:color w:val="auto"/>
        </w:rPr>
      </w:pPr>
      <w:bookmarkStart w:id="121" w:name="_Toc22260"/>
      <w:bookmarkStart w:id="122" w:name="_Toc7329"/>
      <w:bookmarkStart w:id="123" w:name="_Toc147668063"/>
      <w:r>
        <w:rPr>
          <w:rFonts w:hint="default" w:ascii="Times New Roman" w:hAnsi="Times New Roman" w:cs="Times New Roman"/>
          <w:b w:val="0"/>
          <w:bCs w:val="0"/>
          <w:color w:val="auto"/>
        </w:rPr>
        <w:t>3.提高生物多样性可持续利用水平</w:t>
      </w:r>
      <w:bookmarkEnd w:id="121"/>
      <w:bookmarkEnd w:id="122"/>
      <w:bookmarkEnd w:id="123"/>
    </w:p>
    <w:p w14:paraId="10EAFBAD">
      <w:pPr>
        <w:ind w:firstLine="640"/>
        <w:jc w:val="both"/>
        <w:rPr>
          <w:rFonts w:hint="default" w:ascii="Times New Roman" w:hAnsi="Times New Roman" w:cs="Times New Roman"/>
          <w:color w:val="auto"/>
        </w:rPr>
      </w:pPr>
      <w:r>
        <w:rPr>
          <w:rFonts w:hint="default" w:ascii="Times New Roman" w:hAnsi="Times New Roman" w:cs="Times New Roman"/>
          <w:color w:val="auto"/>
        </w:rPr>
        <w:t>基于武汉市丰富的自然资源，大力发展赏花、观鸟等生态旅游。持续改善水生态环境，发展水岸、湖畔经济，利用丰富的水生生物资源发展水产产业。合理利用农业和药用生物资源，发展林药、林茶等生态农林业，以及生物医药等大健康产业，深入推进绿水青山转为金山银山，促进绿色发展。建立多元化的生物多样性保护投入机制，做好生物资源保护修复工作。加大生态保护补偿力度，探索生物多样性丰富地区的生计替代模式，统筹生物多样性保护和发展。</w:t>
      </w:r>
    </w:p>
    <w:p w14:paraId="000E60B7">
      <w:pPr>
        <w:pStyle w:val="7"/>
        <w:ind w:firstLine="640"/>
        <w:jc w:val="both"/>
        <w:rPr>
          <w:rFonts w:hint="default" w:ascii="Times New Roman" w:hAnsi="Times New Roman" w:cs="Times New Roman"/>
          <w:b w:val="0"/>
          <w:bCs w:val="0"/>
          <w:color w:val="auto"/>
        </w:rPr>
      </w:pPr>
      <w:bookmarkStart w:id="124" w:name="_Toc147668064"/>
      <w:bookmarkStart w:id="125" w:name="_Toc16748"/>
      <w:bookmarkStart w:id="126" w:name="_Toc580"/>
      <w:r>
        <w:rPr>
          <w:rFonts w:hint="default" w:ascii="Times New Roman" w:hAnsi="Times New Roman" w:cs="Times New Roman"/>
          <w:b w:val="0"/>
          <w:bCs w:val="0"/>
          <w:color w:val="auto"/>
        </w:rPr>
        <w:t>4.提高公众生物多样性保护意识</w:t>
      </w:r>
      <w:bookmarkEnd w:id="124"/>
      <w:bookmarkEnd w:id="125"/>
      <w:bookmarkEnd w:id="126"/>
    </w:p>
    <w:p w14:paraId="13343D11">
      <w:pPr>
        <w:ind w:firstLine="640"/>
        <w:jc w:val="both"/>
        <w:rPr>
          <w:rFonts w:hint="default" w:ascii="Times New Roman" w:hAnsi="Times New Roman" w:cs="Times New Roman"/>
          <w:color w:val="auto"/>
        </w:rPr>
      </w:pPr>
      <w:r>
        <w:rPr>
          <w:rFonts w:hint="default" w:ascii="Times New Roman" w:hAnsi="Times New Roman" w:cs="Times New Roman"/>
          <w:color w:val="auto"/>
        </w:rPr>
        <w:t>积极推动武汉市各级政府及有关部门开展多层次、全方位、形式多样的生物多样性保护宣传活动。充分发挥各类新闻媒体和平台作用，广泛宣传生物多样性保护知识，强化科普宣传力度，提高公众保护意识。充分调动发挥社会组织、企业、个人的主观能动性，建立健全生物多样性保护志愿服务体系，持续推进环保设施开放，完善公众和执法单位的联合监督机制，为生物多样性数据库管理更新、保护监管等提供帮助。</w:t>
      </w:r>
    </w:p>
    <w:p w14:paraId="113BAF8D">
      <w:pPr>
        <w:pStyle w:val="3"/>
        <w:ind w:firstLine="640"/>
        <w:rPr>
          <w:rFonts w:hint="default" w:ascii="Times New Roman" w:hAnsi="Times New Roman" w:cs="Times New Roman"/>
          <w:color w:val="auto"/>
        </w:rPr>
      </w:pPr>
      <w:r>
        <w:rPr>
          <w:rFonts w:hint="default" w:ascii="Times New Roman" w:hAnsi="Times New Roman" w:cs="Times New Roman"/>
          <w:color w:val="auto"/>
        </w:rPr>
        <w:br w:type="page"/>
      </w:r>
    </w:p>
    <w:p w14:paraId="1CDD73A5">
      <w:pPr>
        <w:pStyle w:val="5"/>
        <w:spacing w:before="312" w:after="312"/>
        <w:rPr>
          <w:rFonts w:hint="default" w:ascii="Times New Roman" w:hAnsi="Times New Roman" w:cs="Times New Roman"/>
          <w:b w:val="0"/>
          <w:bCs w:val="0"/>
          <w:color w:val="auto"/>
        </w:rPr>
      </w:pPr>
      <w:bookmarkStart w:id="127" w:name="_Toc194476141"/>
      <w:r>
        <w:rPr>
          <w:rFonts w:hint="default" w:ascii="Times New Roman" w:hAnsi="Times New Roman" w:cs="Times New Roman"/>
          <w:b w:val="0"/>
          <w:bCs w:val="0"/>
          <w:color w:val="auto"/>
        </w:rPr>
        <w:t xml:space="preserve">第四章  </w:t>
      </w:r>
      <w:bookmarkStart w:id="128" w:name="_Toc147668072"/>
      <w:bookmarkStart w:id="129" w:name="_Toc2823"/>
      <w:bookmarkStart w:id="130" w:name="_Toc23425"/>
      <w:bookmarkStart w:id="131" w:name="_Toc31956"/>
      <w:r>
        <w:rPr>
          <w:rFonts w:hint="default" w:ascii="Times New Roman" w:hAnsi="Times New Roman" w:cs="Times New Roman"/>
          <w:b w:val="0"/>
          <w:bCs w:val="0"/>
          <w:color w:val="auto"/>
        </w:rPr>
        <w:t>生物多样性保护优先区域</w:t>
      </w:r>
      <w:bookmarkEnd w:id="63"/>
      <w:bookmarkEnd w:id="64"/>
      <w:bookmarkEnd w:id="127"/>
      <w:bookmarkEnd w:id="128"/>
      <w:bookmarkEnd w:id="129"/>
      <w:bookmarkEnd w:id="130"/>
      <w:bookmarkEnd w:id="131"/>
    </w:p>
    <w:p w14:paraId="56480458">
      <w:pPr>
        <w:pStyle w:val="6"/>
        <w:ind w:firstLine="640"/>
        <w:jc w:val="both"/>
        <w:rPr>
          <w:rFonts w:hint="default" w:ascii="Times New Roman" w:hAnsi="Times New Roman" w:cs="Times New Roman"/>
          <w:b w:val="0"/>
          <w:bCs w:val="0"/>
          <w:color w:val="auto"/>
        </w:rPr>
      </w:pPr>
      <w:bookmarkStart w:id="132" w:name="_Toc30201"/>
      <w:bookmarkStart w:id="133" w:name="_Toc8035"/>
      <w:bookmarkStart w:id="134" w:name="_Toc147668073"/>
      <w:bookmarkStart w:id="135" w:name="_Toc194476142"/>
      <w:bookmarkStart w:id="136" w:name="_Toc21243"/>
      <w:bookmarkStart w:id="137" w:name="_Toc4796"/>
      <w:bookmarkStart w:id="138" w:name="_Toc16145"/>
      <w:r>
        <w:rPr>
          <w:rFonts w:hint="default" w:ascii="Times New Roman" w:hAnsi="Times New Roman" w:cs="Times New Roman"/>
          <w:b w:val="0"/>
          <w:bCs w:val="0"/>
          <w:color w:val="auto"/>
        </w:rPr>
        <w:t>（一）保护优先区域划定方法</w:t>
      </w:r>
      <w:bookmarkEnd w:id="132"/>
      <w:bookmarkEnd w:id="133"/>
      <w:bookmarkEnd w:id="134"/>
      <w:bookmarkEnd w:id="135"/>
      <w:bookmarkEnd w:id="136"/>
      <w:bookmarkEnd w:id="137"/>
      <w:bookmarkEnd w:id="138"/>
    </w:p>
    <w:p w14:paraId="59A2C7FA">
      <w:pPr>
        <w:ind w:firstLine="640"/>
        <w:jc w:val="both"/>
        <w:rPr>
          <w:rFonts w:hint="default" w:ascii="Times New Roman" w:hAnsi="Times New Roman" w:cs="Times New Roman"/>
          <w:color w:val="auto"/>
        </w:rPr>
      </w:pPr>
      <w:r>
        <w:rPr>
          <w:rFonts w:hint="default" w:ascii="Times New Roman" w:hAnsi="Times New Roman" w:cs="Times New Roman"/>
          <w:color w:val="auto"/>
        </w:rPr>
        <w:t>根据武汉市的自然条件、社会经济状况，综合考虑生态系统类型的代表性、特有程度、特殊生态功能，以及物种的丰富程度、珍稀濒危程度、受威胁因素、地区代表性、经济用途、科学研究价值、分布数据的可获得性、生物廊道的连通性等因素，分析保护空缺区域，识别区域保护重点，划定生物多样性保护优先区域。步骤如下：</w:t>
      </w:r>
    </w:p>
    <w:p w14:paraId="259FF0A7">
      <w:pPr>
        <w:ind w:firstLine="640"/>
        <w:jc w:val="both"/>
        <w:rPr>
          <w:rFonts w:hint="default" w:ascii="Times New Roman" w:hAnsi="Times New Roman" w:cs="Times New Roman"/>
          <w:color w:val="auto"/>
        </w:rPr>
      </w:pPr>
      <w:r>
        <w:rPr>
          <w:rFonts w:hint="default" w:ascii="Times New Roman" w:hAnsi="Times New Roman" w:cs="Times New Roman"/>
          <w:color w:val="auto"/>
        </w:rPr>
        <w:t>（1）通过文献调研等方式，基于武汉市生态保护红线和自然保护地范围以及生态学相关理论，采用地理信息系统技术等方法，筛选区域内的主要保护对象，确定重要生态系统和珍稀濒危物种名录。</w:t>
      </w:r>
    </w:p>
    <w:p w14:paraId="26BFE271">
      <w:pPr>
        <w:ind w:firstLine="640"/>
        <w:jc w:val="both"/>
        <w:rPr>
          <w:rFonts w:hint="default" w:ascii="Times New Roman" w:hAnsi="Times New Roman" w:cs="Times New Roman"/>
          <w:color w:val="auto"/>
        </w:rPr>
      </w:pPr>
      <w:r>
        <w:rPr>
          <w:rFonts w:hint="default" w:ascii="Times New Roman" w:hAnsi="Times New Roman" w:cs="Times New Roman"/>
          <w:color w:val="auto"/>
        </w:rPr>
        <w:t>（2）根据保护对象的重要性，对重要生态系统和珍稀濒危物种进行分级分类。</w:t>
      </w:r>
    </w:p>
    <w:p w14:paraId="5B1A683A">
      <w:pPr>
        <w:ind w:firstLine="640"/>
        <w:jc w:val="both"/>
        <w:rPr>
          <w:rFonts w:hint="default" w:ascii="Times New Roman" w:hAnsi="Times New Roman" w:cs="Times New Roman"/>
          <w:color w:val="auto"/>
        </w:rPr>
      </w:pPr>
      <w:r>
        <w:rPr>
          <w:rFonts w:hint="default" w:ascii="Times New Roman" w:hAnsi="Times New Roman" w:cs="Times New Roman"/>
          <w:color w:val="auto"/>
        </w:rPr>
        <w:t>（3）利用可获取的生态系统数据、区域植被特征等确定重要生态系统以及重要物种的分布范围。</w:t>
      </w:r>
    </w:p>
    <w:p w14:paraId="0E2380B1">
      <w:pPr>
        <w:pStyle w:val="6"/>
        <w:ind w:firstLine="640"/>
        <w:jc w:val="both"/>
        <w:rPr>
          <w:rFonts w:hint="default" w:ascii="Times New Roman" w:hAnsi="Times New Roman" w:cs="Times New Roman"/>
          <w:b w:val="0"/>
          <w:bCs w:val="0"/>
          <w:color w:val="auto"/>
        </w:rPr>
      </w:pPr>
      <w:bookmarkStart w:id="139" w:name="_Toc28447"/>
      <w:bookmarkStart w:id="140" w:name="_Toc2961"/>
      <w:bookmarkStart w:id="141" w:name="_Toc19011"/>
      <w:bookmarkStart w:id="142" w:name="_Toc19533"/>
      <w:bookmarkStart w:id="143" w:name="_Toc13892"/>
      <w:bookmarkStart w:id="144" w:name="_Toc194476143"/>
      <w:bookmarkStart w:id="145" w:name="_Toc147668074"/>
      <w:r>
        <w:rPr>
          <w:rFonts w:hint="default" w:ascii="Times New Roman" w:hAnsi="Times New Roman" w:cs="Times New Roman"/>
          <w:b w:val="0"/>
          <w:bCs w:val="0"/>
          <w:color w:val="auto"/>
        </w:rPr>
        <w:t>（二）优先保护物种</w:t>
      </w:r>
      <w:bookmarkEnd w:id="139"/>
      <w:bookmarkEnd w:id="140"/>
      <w:bookmarkEnd w:id="141"/>
      <w:bookmarkEnd w:id="142"/>
      <w:bookmarkEnd w:id="143"/>
      <w:bookmarkEnd w:id="144"/>
      <w:bookmarkEnd w:id="145"/>
    </w:p>
    <w:p w14:paraId="1CE38C85">
      <w:pPr>
        <w:ind w:firstLine="640"/>
        <w:jc w:val="both"/>
        <w:rPr>
          <w:rFonts w:hint="default" w:ascii="Times New Roman" w:hAnsi="Times New Roman" w:cs="Times New Roman"/>
          <w:color w:val="auto"/>
        </w:rPr>
      </w:pPr>
      <w:r>
        <w:rPr>
          <w:rFonts w:hint="default" w:ascii="Times New Roman" w:hAnsi="Times New Roman" w:cs="Times New Roman"/>
          <w:color w:val="auto"/>
        </w:rPr>
        <w:t>通过文献调研等方式，筛选确定区域内优先保护物种。</w:t>
      </w:r>
    </w:p>
    <w:p w14:paraId="3D8A9F7B">
      <w:pPr>
        <w:pStyle w:val="7"/>
        <w:ind w:firstLine="640"/>
        <w:jc w:val="both"/>
        <w:rPr>
          <w:rFonts w:hint="default" w:ascii="Times New Roman" w:hAnsi="Times New Roman" w:cs="Times New Roman"/>
          <w:b w:val="0"/>
          <w:bCs w:val="0"/>
          <w:color w:val="auto"/>
        </w:rPr>
      </w:pPr>
      <w:bookmarkStart w:id="146" w:name="_Toc26222"/>
      <w:bookmarkStart w:id="147" w:name="_Toc26998"/>
      <w:bookmarkStart w:id="148" w:name="_Toc147668075"/>
      <w:r>
        <w:rPr>
          <w:rFonts w:hint="default" w:ascii="Times New Roman" w:hAnsi="Times New Roman" w:cs="Times New Roman"/>
          <w:b w:val="0"/>
          <w:bCs w:val="0"/>
          <w:color w:val="auto"/>
        </w:rPr>
        <w:t>1.维管植物</w:t>
      </w:r>
      <w:bookmarkEnd w:id="146"/>
      <w:bookmarkEnd w:id="147"/>
      <w:bookmarkEnd w:id="148"/>
    </w:p>
    <w:p w14:paraId="7BB218CC">
      <w:pPr>
        <w:ind w:firstLine="640"/>
        <w:jc w:val="both"/>
        <w:rPr>
          <w:rFonts w:hint="default" w:ascii="Times New Roman" w:hAnsi="Times New Roman" w:cs="Times New Roman"/>
          <w:color w:val="auto"/>
        </w:rPr>
      </w:pPr>
      <w:r>
        <w:rPr>
          <w:rFonts w:hint="default" w:ascii="Times New Roman" w:hAnsi="Times New Roman" w:cs="Times New Roman"/>
          <w:color w:val="auto"/>
        </w:rPr>
        <w:t>武汉市的维管植物优先保护物种共计13种。</w:t>
      </w:r>
    </w:p>
    <w:p w14:paraId="2B0D63A9">
      <w:pPr>
        <w:ind w:firstLine="640"/>
        <w:jc w:val="both"/>
        <w:rPr>
          <w:rFonts w:hint="default" w:ascii="Times New Roman" w:hAnsi="Times New Roman" w:cs="Times New Roman"/>
          <w:color w:val="auto"/>
        </w:rPr>
      </w:pPr>
      <w:r>
        <w:rPr>
          <w:rFonts w:hint="default" w:ascii="Times New Roman" w:hAnsi="Times New Roman" w:cs="Times New Roman"/>
          <w:color w:val="auto"/>
        </w:rPr>
        <w:t>（1）蕨类植物</w:t>
      </w:r>
    </w:p>
    <w:p w14:paraId="2F6057E9">
      <w:pPr>
        <w:ind w:firstLine="640"/>
        <w:jc w:val="both"/>
        <w:rPr>
          <w:rFonts w:hint="default" w:ascii="Times New Roman" w:hAnsi="Times New Roman" w:cs="Times New Roman"/>
          <w:color w:val="auto"/>
        </w:rPr>
      </w:pPr>
      <w:r>
        <w:rPr>
          <w:rFonts w:hint="default" w:ascii="Times New Roman" w:hAnsi="Times New Roman" w:cs="Times New Roman"/>
          <w:color w:val="auto"/>
        </w:rPr>
        <w:t>蕨类植物优先保护物种为粗梗水蕨（</w:t>
      </w:r>
      <w:r>
        <w:rPr>
          <w:rFonts w:hint="default" w:ascii="Times New Roman" w:hAnsi="Times New Roman" w:cs="Times New Roman"/>
          <w:i/>
          <w:color w:val="auto"/>
        </w:rPr>
        <w:t>Ceratopteris pteridoides</w:t>
      </w:r>
      <w:r>
        <w:rPr>
          <w:rFonts w:hint="default" w:ascii="Times New Roman" w:hAnsi="Times New Roman" w:cs="Times New Roman"/>
          <w:color w:val="auto"/>
        </w:rPr>
        <w:t>），属于国家二级重点保护野生植物，在中国生物多样性红色名录（以下简称红色名录）中被列为极危（CR）物种，常生长在湖泊、河流、库塘等淡水湿地。曾经与武汉湿地广泛分布的野莲、野菱和野大豆并称“湿地四宝”，随着人类采食、湿地生态环境改变等原因，其野外种群数量急剧下降。</w:t>
      </w:r>
    </w:p>
    <w:p w14:paraId="551918D3">
      <w:pPr>
        <w:ind w:firstLine="640"/>
        <w:jc w:val="both"/>
        <w:rPr>
          <w:rFonts w:hint="default" w:ascii="Times New Roman" w:hAnsi="Times New Roman" w:cs="Times New Roman"/>
          <w:color w:val="auto"/>
        </w:rPr>
      </w:pPr>
      <w:r>
        <w:rPr>
          <w:rFonts w:hint="default" w:ascii="Times New Roman" w:hAnsi="Times New Roman" w:cs="Times New Roman"/>
          <w:color w:val="auto"/>
        </w:rPr>
        <w:t>（2）被子植物</w:t>
      </w:r>
    </w:p>
    <w:p w14:paraId="5E010657">
      <w:pPr>
        <w:ind w:firstLine="640"/>
        <w:jc w:val="both"/>
        <w:rPr>
          <w:rFonts w:hint="default" w:ascii="Times New Roman" w:hAnsi="Times New Roman" w:cs="Times New Roman"/>
          <w:color w:val="auto"/>
        </w:rPr>
      </w:pPr>
      <w:r>
        <w:rPr>
          <w:rFonts w:hint="default" w:ascii="Times New Roman" w:hAnsi="Times New Roman" w:cs="Times New Roman"/>
          <w:color w:val="auto"/>
        </w:rPr>
        <w:t>被子植物优先保护物种包括狭叶重楼（</w:t>
      </w:r>
      <w:r>
        <w:rPr>
          <w:rFonts w:hint="default" w:ascii="Times New Roman" w:hAnsi="Times New Roman" w:cs="Times New Roman"/>
          <w:i/>
          <w:iCs/>
          <w:color w:val="auto"/>
        </w:rPr>
        <w:t>Paris polyphylla</w:t>
      </w:r>
      <w:r>
        <w:rPr>
          <w:rFonts w:hint="default" w:ascii="Times New Roman" w:hAnsi="Times New Roman" w:cs="Times New Roman"/>
          <w:color w:val="auto"/>
        </w:rPr>
        <w:t>）、建兰（</w:t>
      </w:r>
      <w:r>
        <w:rPr>
          <w:rFonts w:hint="default" w:ascii="Times New Roman" w:hAnsi="Times New Roman" w:cs="Times New Roman"/>
          <w:i/>
          <w:iCs/>
          <w:color w:val="auto"/>
        </w:rPr>
        <w:t>Cymbidium ensifolium</w:t>
      </w:r>
      <w:r>
        <w:rPr>
          <w:rFonts w:hint="default" w:ascii="Times New Roman" w:hAnsi="Times New Roman" w:cs="Times New Roman"/>
          <w:color w:val="auto"/>
        </w:rPr>
        <w:t>）、龙舌草（</w:t>
      </w:r>
      <w:r>
        <w:rPr>
          <w:rFonts w:hint="default" w:ascii="Times New Roman" w:hAnsi="Times New Roman" w:cs="Times New Roman"/>
          <w:i/>
          <w:iCs/>
          <w:color w:val="auto"/>
        </w:rPr>
        <w:t>Ottelia alismoides</w:t>
      </w:r>
      <w:r>
        <w:rPr>
          <w:rFonts w:hint="default" w:ascii="Times New Roman" w:hAnsi="Times New Roman" w:cs="Times New Roman"/>
          <w:color w:val="auto"/>
        </w:rPr>
        <w:t>）、野大豆（</w:t>
      </w:r>
      <w:r>
        <w:rPr>
          <w:rFonts w:hint="default" w:ascii="Times New Roman" w:hAnsi="Times New Roman" w:cs="Times New Roman"/>
          <w:i/>
          <w:iCs/>
          <w:color w:val="auto"/>
        </w:rPr>
        <w:t>Glycine soja</w:t>
      </w:r>
      <w:r>
        <w:rPr>
          <w:rFonts w:hint="default" w:ascii="Times New Roman" w:hAnsi="Times New Roman" w:cs="Times New Roman"/>
          <w:color w:val="auto"/>
        </w:rPr>
        <w:t>）、鹅掌楸（</w:t>
      </w:r>
      <w:r>
        <w:rPr>
          <w:rFonts w:hint="default" w:ascii="Times New Roman" w:hAnsi="Times New Roman" w:cs="Times New Roman"/>
          <w:i/>
          <w:iCs/>
          <w:color w:val="auto"/>
        </w:rPr>
        <w:t>Liriodendron chinense</w:t>
      </w:r>
      <w:r>
        <w:rPr>
          <w:rFonts w:hint="default" w:ascii="Times New Roman" w:hAnsi="Times New Roman" w:cs="Times New Roman"/>
          <w:color w:val="auto"/>
        </w:rPr>
        <w:t>）、金荞麦（</w:t>
      </w:r>
      <w:r>
        <w:rPr>
          <w:rFonts w:hint="default" w:ascii="Times New Roman" w:hAnsi="Times New Roman" w:cs="Times New Roman"/>
          <w:i/>
          <w:iCs/>
          <w:color w:val="auto"/>
        </w:rPr>
        <w:t>Fagopyrum dibotrys</w:t>
      </w:r>
      <w:r>
        <w:rPr>
          <w:rFonts w:hint="default" w:ascii="Times New Roman" w:hAnsi="Times New Roman" w:cs="Times New Roman"/>
          <w:color w:val="auto"/>
        </w:rPr>
        <w:t>）、秤锤树（</w:t>
      </w:r>
      <w:r>
        <w:rPr>
          <w:rFonts w:hint="default" w:ascii="Times New Roman" w:hAnsi="Times New Roman" w:cs="Times New Roman"/>
          <w:i/>
          <w:iCs/>
          <w:color w:val="auto"/>
        </w:rPr>
        <w:t>Sinojackia xylocarpa</w:t>
      </w:r>
      <w:r>
        <w:rPr>
          <w:rFonts w:hint="default" w:ascii="Times New Roman" w:hAnsi="Times New Roman" w:cs="Times New Roman"/>
          <w:color w:val="auto"/>
        </w:rPr>
        <w:t>）、棱果秤锤树（</w:t>
      </w:r>
      <w:r>
        <w:rPr>
          <w:rFonts w:hint="default" w:ascii="Times New Roman" w:hAnsi="Times New Roman" w:cs="Times New Roman"/>
          <w:i/>
          <w:iCs/>
          <w:color w:val="auto"/>
        </w:rPr>
        <w:t>Sinojackia henryi</w:t>
      </w:r>
      <w:r>
        <w:rPr>
          <w:rFonts w:hint="default" w:ascii="Times New Roman" w:hAnsi="Times New Roman" w:cs="Times New Roman"/>
          <w:color w:val="auto"/>
        </w:rPr>
        <w:t>）、寒竹（</w:t>
      </w:r>
      <w:r>
        <w:rPr>
          <w:rFonts w:hint="default" w:ascii="Times New Roman" w:hAnsi="Times New Roman" w:cs="Times New Roman"/>
          <w:i/>
          <w:iCs/>
          <w:color w:val="auto"/>
        </w:rPr>
        <w:t>Chimonobambusa marmorea</w:t>
      </w:r>
      <w:r>
        <w:rPr>
          <w:rFonts w:hint="default" w:ascii="Times New Roman" w:hAnsi="Times New Roman" w:cs="Times New Roman"/>
          <w:color w:val="auto"/>
        </w:rPr>
        <w:t>）、萍蓬草（</w:t>
      </w:r>
      <w:r>
        <w:rPr>
          <w:rFonts w:hint="default" w:ascii="Times New Roman" w:hAnsi="Times New Roman" w:cs="Times New Roman"/>
          <w:i/>
          <w:iCs/>
          <w:color w:val="auto"/>
        </w:rPr>
        <w:t>Nuphar pumila</w:t>
      </w:r>
      <w:r>
        <w:rPr>
          <w:rFonts w:hint="default" w:ascii="Times New Roman" w:hAnsi="Times New Roman" w:cs="Times New Roman"/>
          <w:color w:val="auto"/>
        </w:rPr>
        <w:t>）、朵花椒（</w:t>
      </w:r>
      <w:r>
        <w:rPr>
          <w:rFonts w:hint="default" w:ascii="Times New Roman" w:hAnsi="Times New Roman" w:cs="Times New Roman"/>
          <w:i/>
          <w:iCs/>
          <w:color w:val="auto"/>
        </w:rPr>
        <w:t>Zanthoxylum molle</w:t>
      </w:r>
      <w:r>
        <w:rPr>
          <w:rFonts w:hint="default" w:ascii="Times New Roman" w:hAnsi="Times New Roman" w:cs="Times New Roman"/>
          <w:color w:val="auto"/>
        </w:rPr>
        <w:t>）、川含笑（</w:t>
      </w:r>
      <w:r>
        <w:rPr>
          <w:rFonts w:hint="default" w:ascii="Times New Roman" w:hAnsi="Times New Roman" w:cs="Times New Roman"/>
          <w:i/>
          <w:iCs/>
          <w:color w:val="auto"/>
        </w:rPr>
        <w:t>Michelia wilsonii</w:t>
      </w:r>
      <w:r>
        <w:rPr>
          <w:rFonts w:hint="default" w:ascii="Times New Roman" w:hAnsi="Times New Roman" w:cs="Times New Roman"/>
          <w:color w:val="auto"/>
        </w:rPr>
        <w:t>）等12种。</w:t>
      </w:r>
    </w:p>
    <w:p w14:paraId="23D40FCC">
      <w:pPr>
        <w:ind w:firstLine="640"/>
        <w:jc w:val="both"/>
        <w:rPr>
          <w:rFonts w:hint="default" w:ascii="Times New Roman" w:hAnsi="Times New Roman" w:cs="Times New Roman"/>
          <w:color w:val="auto"/>
        </w:rPr>
      </w:pPr>
      <w:r>
        <w:rPr>
          <w:rFonts w:hint="default" w:ascii="Times New Roman" w:hAnsi="Times New Roman" w:cs="Times New Roman"/>
          <w:color w:val="auto"/>
        </w:rPr>
        <w:t>狭叶重楼、建兰、龙舌草、野大豆、鹅掌楸、金荞麦、秤锤树、棱果秤锤树8种植物均为国家二级重点保护野生植物，其中秤锤树在红色名录中被列为濒危（EN）物种，狭叶重楼、龙舌草、建兰被列为易危（VU）物种。秤锤树属在野外处于濒危状态，其中棱果秤锤树目前仅在湖北（武汉）等个别地方发现野生种群。寒竹、萍蓬草、朵花椒和川含笑在红色名录中均被列为易危物种。被子植物主要威胁是人类活动的干扰及生境的破坏。</w:t>
      </w:r>
    </w:p>
    <w:p w14:paraId="56DCDB03">
      <w:pPr>
        <w:spacing w:after="156" w:afterLines="50"/>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表4-1 维管植物优先保护物种名录</w:t>
      </w:r>
    </w:p>
    <w:tbl>
      <w:tblPr>
        <w:tblStyle w:val="27"/>
        <w:tblW w:w="8220" w:type="dxa"/>
        <w:jc w:val="center"/>
        <w:tblLayout w:type="fixed"/>
        <w:tblCellMar>
          <w:top w:w="0" w:type="dxa"/>
          <w:left w:w="57" w:type="dxa"/>
          <w:bottom w:w="0" w:type="dxa"/>
          <w:right w:w="57" w:type="dxa"/>
        </w:tblCellMar>
      </w:tblPr>
      <w:tblGrid>
        <w:gridCol w:w="1474"/>
        <w:gridCol w:w="3118"/>
        <w:gridCol w:w="850"/>
        <w:gridCol w:w="1587"/>
        <w:gridCol w:w="1191"/>
      </w:tblGrid>
      <w:tr w14:paraId="17A03F29">
        <w:tblPrEx>
          <w:tblCellMar>
            <w:top w:w="0" w:type="dxa"/>
            <w:left w:w="57" w:type="dxa"/>
            <w:bottom w:w="0" w:type="dxa"/>
            <w:right w:w="57" w:type="dxa"/>
          </w:tblCellMar>
        </w:tblPrEx>
        <w:trPr>
          <w:trHeight w:val="90" w:hRule="atLeast"/>
          <w:jc w:val="center"/>
        </w:trPr>
        <w:tc>
          <w:tcPr>
            <w:tcW w:w="1474" w:type="dxa"/>
            <w:tcBorders>
              <w:top w:val="single" w:color="000000" w:sz="12" w:space="0"/>
              <w:left w:val="nil"/>
              <w:bottom w:val="single" w:color="000000" w:sz="8" w:space="0"/>
              <w:right w:val="nil"/>
            </w:tcBorders>
            <w:shd w:val="clear" w:color="auto" w:fill="auto"/>
            <w:vAlign w:val="center"/>
          </w:tcPr>
          <w:p w14:paraId="647FF49C">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rPr>
              <w:t>物种</w:t>
            </w:r>
            <w:r>
              <w:rPr>
                <w:rStyle w:val="38"/>
                <w:rFonts w:hint="default" w:ascii="Times New Roman" w:hAnsi="Times New Roman" w:eastAsia="宋体" w:cs="Times New Roman"/>
                <w:b w:val="0"/>
                <w:color w:val="auto"/>
                <w:sz w:val="24"/>
                <w:szCs w:val="24"/>
                <w:lang w:bidi="ar"/>
              </w:rPr>
              <w:t>中文名</w:t>
            </w:r>
          </w:p>
        </w:tc>
        <w:tc>
          <w:tcPr>
            <w:tcW w:w="3118" w:type="dxa"/>
            <w:tcBorders>
              <w:top w:val="single" w:color="000000" w:sz="12" w:space="0"/>
              <w:left w:val="nil"/>
              <w:bottom w:val="single" w:color="000000" w:sz="8" w:space="0"/>
              <w:right w:val="nil"/>
            </w:tcBorders>
            <w:shd w:val="clear" w:color="auto" w:fill="auto"/>
            <w:vAlign w:val="center"/>
          </w:tcPr>
          <w:p w14:paraId="52AEB843">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rPr>
              <w:t>物种</w:t>
            </w:r>
            <w:r>
              <w:rPr>
                <w:rStyle w:val="38"/>
                <w:rFonts w:hint="default" w:ascii="Times New Roman" w:hAnsi="Times New Roman" w:eastAsia="宋体" w:cs="Times New Roman"/>
                <w:b w:val="0"/>
                <w:color w:val="auto"/>
                <w:sz w:val="24"/>
                <w:szCs w:val="24"/>
                <w:lang w:bidi="ar"/>
              </w:rPr>
              <w:t>学名</w:t>
            </w:r>
          </w:p>
        </w:tc>
        <w:tc>
          <w:tcPr>
            <w:tcW w:w="850" w:type="dxa"/>
            <w:tcBorders>
              <w:top w:val="single" w:color="000000" w:sz="12" w:space="0"/>
              <w:left w:val="nil"/>
              <w:bottom w:val="single" w:color="000000" w:sz="8" w:space="0"/>
              <w:right w:val="nil"/>
            </w:tcBorders>
            <w:shd w:val="clear" w:color="auto" w:fill="auto"/>
            <w:vAlign w:val="center"/>
          </w:tcPr>
          <w:p w14:paraId="756E7B1B">
            <w:pPr>
              <w:ind w:firstLine="0" w:firstLineChars="0"/>
              <w:jc w:val="center"/>
              <w:rPr>
                <w:rStyle w:val="38"/>
                <w:rFonts w:hint="default" w:ascii="Times New Roman" w:hAnsi="Times New Roman" w:eastAsia="宋体" w:cs="Times New Roman"/>
                <w:b w:val="0"/>
                <w:color w:val="auto"/>
                <w:sz w:val="24"/>
                <w:szCs w:val="24"/>
                <w:lang w:bidi="ar"/>
              </w:rPr>
            </w:pPr>
            <w:r>
              <w:rPr>
                <w:rStyle w:val="38"/>
                <w:rFonts w:hint="default" w:ascii="Times New Roman" w:hAnsi="Times New Roman" w:eastAsia="宋体" w:cs="Times New Roman"/>
                <w:b w:val="0"/>
                <w:color w:val="auto"/>
                <w:sz w:val="24"/>
                <w:szCs w:val="24"/>
                <w:lang w:bidi="ar"/>
              </w:rPr>
              <w:t>保护</w:t>
            </w:r>
          </w:p>
          <w:p w14:paraId="7742198B">
            <w:pPr>
              <w:ind w:firstLine="0" w:firstLineChars="0"/>
              <w:jc w:val="center"/>
              <w:rPr>
                <w:rFonts w:hint="default" w:ascii="Times New Roman" w:hAnsi="Times New Roman" w:eastAsia="宋体" w:cs="Times New Roman"/>
                <w:color w:val="auto"/>
                <w:sz w:val="24"/>
                <w:szCs w:val="24"/>
              </w:rPr>
            </w:pPr>
            <w:r>
              <w:rPr>
                <w:rStyle w:val="38"/>
                <w:rFonts w:hint="default" w:ascii="Times New Roman" w:hAnsi="Times New Roman" w:eastAsia="宋体" w:cs="Times New Roman"/>
                <w:b w:val="0"/>
                <w:color w:val="auto"/>
                <w:sz w:val="24"/>
                <w:szCs w:val="24"/>
                <w:lang w:bidi="ar"/>
              </w:rPr>
              <w:t>等级</w:t>
            </w:r>
          </w:p>
        </w:tc>
        <w:tc>
          <w:tcPr>
            <w:tcW w:w="1587" w:type="dxa"/>
            <w:tcBorders>
              <w:top w:val="single" w:color="000000" w:sz="12" w:space="0"/>
              <w:left w:val="nil"/>
              <w:bottom w:val="single" w:color="000000" w:sz="8" w:space="0"/>
              <w:right w:val="nil"/>
            </w:tcBorders>
            <w:shd w:val="clear" w:color="auto" w:fill="auto"/>
            <w:vAlign w:val="center"/>
          </w:tcPr>
          <w:p w14:paraId="01113EE8">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濒危等级</w:t>
            </w:r>
          </w:p>
        </w:tc>
        <w:tc>
          <w:tcPr>
            <w:tcW w:w="1191" w:type="dxa"/>
            <w:tcBorders>
              <w:top w:val="single" w:color="000000" w:sz="12" w:space="0"/>
              <w:left w:val="nil"/>
              <w:bottom w:val="single" w:color="000000" w:sz="8" w:space="0"/>
              <w:right w:val="nil"/>
            </w:tcBorders>
            <w:shd w:val="clear" w:color="auto" w:fill="auto"/>
            <w:vAlign w:val="center"/>
          </w:tcPr>
          <w:p w14:paraId="74267469">
            <w:pPr>
              <w:ind w:firstLine="0" w:firstLineChars="0"/>
              <w:jc w:val="center"/>
              <w:rPr>
                <w:rStyle w:val="38"/>
                <w:rFonts w:hint="default" w:ascii="Times New Roman" w:hAnsi="Times New Roman" w:eastAsia="宋体" w:cs="Times New Roman"/>
                <w:b w:val="0"/>
                <w:color w:val="auto"/>
                <w:sz w:val="24"/>
                <w:szCs w:val="24"/>
                <w:lang w:bidi="ar"/>
              </w:rPr>
            </w:pPr>
            <w:r>
              <w:rPr>
                <w:rStyle w:val="38"/>
                <w:rFonts w:hint="default" w:ascii="Times New Roman" w:hAnsi="Times New Roman" w:eastAsia="宋体" w:cs="Times New Roman"/>
                <w:b w:val="0"/>
                <w:color w:val="auto"/>
                <w:sz w:val="24"/>
                <w:szCs w:val="24"/>
                <w:lang w:bidi="ar"/>
              </w:rPr>
              <w:t>是否中国</w:t>
            </w:r>
          </w:p>
          <w:p w14:paraId="6595BEB3">
            <w:pPr>
              <w:ind w:firstLine="0" w:firstLineChars="0"/>
              <w:jc w:val="center"/>
              <w:rPr>
                <w:rFonts w:hint="default" w:ascii="Times New Roman" w:hAnsi="Times New Roman" w:eastAsia="宋体" w:cs="Times New Roman"/>
                <w:color w:val="auto"/>
                <w:sz w:val="24"/>
                <w:szCs w:val="24"/>
              </w:rPr>
            </w:pPr>
            <w:r>
              <w:rPr>
                <w:rStyle w:val="38"/>
                <w:rFonts w:hint="default" w:ascii="Times New Roman" w:hAnsi="Times New Roman" w:eastAsia="宋体" w:cs="Times New Roman"/>
                <w:b w:val="0"/>
                <w:color w:val="auto"/>
                <w:sz w:val="24"/>
                <w:szCs w:val="24"/>
                <w:lang w:bidi="ar"/>
              </w:rPr>
              <w:t>特有种</w:t>
            </w:r>
          </w:p>
        </w:tc>
      </w:tr>
      <w:tr w14:paraId="3D2B3C44">
        <w:tblPrEx>
          <w:tblCellMar>
            <w:top w:w="0" w:type="dxa"/>
            <w:left w:w="57" w:type="dxa"/>
            <w:bottom w:w="0" w:type="dxa"/>
            <w:right w:w="57" w:type="dxa"/>
          </w:tblCellMar>
        </w:tblPrEx>
        <w:trPr>
          <w:trHeight w:val="454" w:hRule="atLeast"/>
          <w:jc w:val="center"/>
        </w:trPr>
        <w:tc>
          <w:tcPr>
            <w:tcW w:w="1474" w:type="dxa"/>
            <w:tcBorders>
              <w:top w:val="nil"/>
              <w:left w:val="nil"/>
              <w:bottom w:val="nil"/>
              <w:right w:val="nil"/>
            </w:tcBorders>
            <w:shd w:val="clear" w:color="auto" w:fill="auto"/>
            <w:vAlign w:val="center"/>
          </w:tcPr>
          <w:p w14:paraId="7FFAB5A7">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粗梗水蕨</w:t>
            </w:r>
          </w:p>
        </w:tc>
        <w:tc>
          <w:tcPr>
            <w:tcW w:w="3118" w:type="dxa"/>
            <w:tcBorders>
              <w:top w:val="nil"/>
              <w:left w:val="nil"/>
              <w:bottom w:val="nil"/>
              <w:right w:val="nil"/>
            </w:tcBorders>
            <w:shd w:val="clear" w:color="auto" w:fill="auto"/>
            <w:vAlign w:val="center"/>
          </w:tcPr>
          <w:p w14:paraId="38360A1F">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Ceratopteris pteridoides</w:t>
            </w:r>
          </w:p>
        </w:tc>
        <w:tc>
          <w:tcPr>
            <w:tcW w:w="850" w:type="dxa"/>
            <w:tcBorders>
              <w:top w:val="nil"/>
              <w:left w:val="nil"/>
              <w:bottom w:val="nil"/>
              <w:right w:val="nil"/>
            </w:tcBorders>
            <w:shd w:val="clear" w:color="auto" w:fill="auto"/>
            <w:vAlign w:val="center"/>
          </w:tcPr>
          <w:p w14:paraId="6E4765EE">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二级</w:t>
            </w:r>
          </w:p>
        </w:tc>
        <w:tc>
          <w:tcPr>
            <w:tcW w:w="1587" w:type="dxa"/>
            <w:tcBorders>
              <w:top w:val="nil"/>
              <w:left w:val="nil"/>
              <w:bottom w:val="nil"/>
              <w:right w:val="nil"/>
            </w:tcBorders>
            <w:shd w:val="clear" w:color="auto" w:fill="auto"/>
            <w:vAlign w:val="center"/>
          </w:tcPr>
          <w:p w14:paraId="79D762B6">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极危（CR）</w:t>
            </w:r>
          </w:p>
        </w:tc>
        <w:tc>
          <w:tcPr>
            <w:tcW w:w="1191" w:type="dxa"/>
            <w:tcBorders>
              <w:top w:val="nil"/>
              <w:left w:val="nil"/>
              <w:bottom w:val="nil"/>
              <w:right w:val="nil"/>
            </w:tcBorders>
            <w:shd w:val="clear" w:color="auto" w:fill="auto"/>
            <w:vAlign w:val="center"/>
          </w:tcPr>
          <w:p w14:paraId="58C767F9">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2392EA5F">
        <w:tblPrEx>
          <w:tblCellMar>
            <w:top w:w="0" w:type="dxa"/>
            <w:left w:w="57" w:type="dxa"/>
            <w:bottom w:w="0" w:type="dxa"/>
            <w:right w:w="57" w:type="dxa"/>
          </w:tblCellMar>
        </w:tblPrEx>
        <w:trPr>
          <w:trHeight w:val="454" w:hRule="atLeast"/>
          <w:jc w:val="center"/>
        </w:trPr>
        <w:tc>
          <w:tcPr>
            <w:tcW w:w="1474" w:type="dxa"/>
            <w:tcBorders>
              <w:top w:val="nil"/>
              <w:left w:val="nil"/>
              <w:bottom w:val="nil"/>
              <w:right w:val="nil"/>
            </w:tcBorders>
            <w:shd w:val="clear" w:color="auto" w:fill="auto"/>
            <w:vAlign w:val="center"/>
          </w:tcPr>
          <w:p w14:paraId="35F24519">
            <w:pPr>
              <w:ind w:firstLine="0" w:firstLineChars="0"/>
              <w:jc w:val="both"/>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狭叶重楼</w:t>
            </w:r>
          </w:p>
        </w:tc>
        <w:tc>
          <w:tcPr>
            <w:tcW w:w="3118" w:type="dxa"/>
            <w:tcBorders>
              <w:top w:val="nil"/>
              <w:left w:val="nil"/>
              <w:bottom w:val="nil"/>
              <w:right w:val="nil"/>
            </w:tcBorders>
            <w:shd w:val="clear" w:color="auto" w:fill="auto"/>
            <w:vAlign w:val="center"/>
          </w:tcPr>
          <w:p w14:paraId="06B20659">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Paris polyphylla</w:t>
            </w:r>
          </w:p>
        </w:tc>
        <w:tc>
          <w:tcPr>
            <w:tcW w:w="850" w:type="dxa"/>
            <w:tcBorders>
              <w:top w:val="nil"/>
              <w:left w:val="nil"/>
              <w:bottom w:val="nil"/>
              <w:right w:val="nil"/>
            </w:tcBorders>
            <w:shd w:val="clear" w:color="auto" w:fill="auto"/>
            <w:vAlign w:val="center"/>
          </w:tcPr>
          <w:p w14:paraId="24CC5812">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二级</w:t>
            </w:r>
          </w:p>
        </w:tc>
        <w:tc>
          <w:tcPr>
            <w:tcW w:w="1587" w:type="dxa"/>
            <w:tcBorders>
              <w:top w:val="nil"/>
              <w:left w:val="nil"/>
              <w:bottom w:val="nil"/>
              <w:right w:val="nil"/>
            </w:tcBorders>
            <w:shd w:val="clear" w:color="auto" w:fill="auto"/>
            <w:vAlign w:val="center"/>
          </w:tcPr>
          <w:p w14:paraId="6ED01058">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易危（VU）</w:t>
            </w:r>
          </w:p>
        </w:tc>
        <w:tc>
          <w:tcPr>
            <w:tcW w:w="1191" w:type="dxa"/>
            <w:tcBorders>
              <w:top w:val="nil"/>
              <w:left w:val="nil"/>
              <w:bottom w:val="nil"/>
              <w:right w:val="nil"/>
            </w:tcBorders>
            <w:shd w:val="clear" w:color="auto" w:fill="auto"/>
            <w:vAlign w:val="center"/>
          </w:tcPr>
          <w:p w14:paraId="1303F971">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11D20BFA">
        <w:tblPrEx>
          <w:tblCellMar>
            <w:top w:w="0" w:type="dxa"/>
            <w:left w:w="57" w:type="dxa"/>
            <w:bottom w:w="0" w:type="dxa"/>
            <w:right w:w="57" w:type="dxa"/>
          </w:tblCellMar>
        </w:tblPrEx>
        <w:trPr>
          <w:trHeight w:val="454" w:hRule="atLeast"/>
          <w:jc w:val="center"/>
        </w:trPr>
        <w:tc>
          <w:tcPr>
            <w:tcW w:w="1474" w:type="dxa"/>
            <w:tcBorders>
              <w:top w:val="nil"/>
              <w:left w:val="nil"/>
              <w:bottom w:val="nil"/>
              <w:right w:val="nil"/>
            </w:tcBorders>
            <w:shd w:val="clear" w:color="auto" w:fill="auto"/>
            <w:vAlign w:val="center"/>
          </w:tcPr>
          <w:p w14:paraId="6217D1DF">
            <w:pPr>
              <w:ind w:firstLine="0" w:firstLineChars="0"/>
              <w:jc w:val="both"/>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建兰</w:t>
            </w:r>
          </w:p>
        </w:tc>
        <w:tc>
          <w:tcPr>
            <w:tcW w:w="3118" w:type="dxa"/>
            <w:tcBorders>
              <w:top w:val="nil"/>
              <w:left w:val="nil"/>
              <w:bottom w:val="nil"/>
              <w:right w:val="nil"/>
            </w:tcBorders>
            <w:shd w:val="clear" w:color="auto" w:fill="auto"/>
            <w:vAlign w:val="center"/>
          </w:tcPr>
          <w:p w14:paraId="2983A35B">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Cymbidium ensifolium</w:t>
            </w:r>
          </w:p>
        </w:tc>
        <w:tc>
          <w:tcPr>
            <w:tcW w:w="850" w:type="dxa"/>
            <w:tcBorders>
              <w:top w:val="nil"/>
              <w:left w:val="nil"/>
              <w:bottom w:val="nil"/>
              <w:right w:val="nil"/>
            </w:tcBorders>
            <w:shd w:val="clear" w:color="auto" w:fill="auto"/>
            <w:vAlign w:val="center"/>
          </w:tcPr>
          <w:p w14:paraId="5E3BF8A5">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二级</w:t>
            </w:r>
          </w:p>
        </w:tc>
        <w:tc>
          <w:tcPr>
            <w:tcW w:w="1587" w:type="dxa"/>
            <w:tcBorders>
              <w:top w:val="nil"/>
              <w:left w:val="nil"/>
              <w:bottom w:val="nil"/>
              <w:right w:val="nil"/>
            </w:tcBorders>
            <w:shd w:val="clear" w:color="auto" w:fill="auto"/>
            <w:vAlign w:val="center"/>
          </w:tcPr>
          <w:p w14:paraId="4ABB0534">
            <w:pPr>
              <w:ind w:firstLine="0" w:firstLineChars="0"/>
              <w:jc w:val="center"/>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易危（</w:t>
            </w:r>
            <w:r>
              <w:rPr>
                <w:rStyle w:val="37"/>
                <w:rFonts w:hint="default" w:ascii="Times New Roman" w:hAnsi="Times New Roman" w:cs="Times New Roman"/>
                <w:color w:val="auto"/>
                <w:sz w:val="24"/>
                <w:szCs w:val="24"/>
                <w:lang w:bidi="ar"/>
              </w:rPr>
              <w:t>VU</w:t>
            </w:r>
            <w:r>
              <w:rPr>
                <w:rStyle w:val="39"/>
                <w:rFonts w:hint="default" w:ascii="Times New Roman" w:hAnsi="Times New Roman" w:cs="Times New Roman"/>
                <w:color w:val="auto"/>
                <w:sz w:val="24"/>
                <w:szCs w:val="24"/>
                <w:lang w:bidi="ar"/>
              </w:rPr>
              <w:t>）</w:t>
            </w:r>
          </w:p>
        </w:tc>
        <w:tc>
          <w:tcPr>
            <w:tcW w:w="1191" w:type="dxa"/>
            <w:tcBorders>
              <w:top w:val="nil"/>
              <w:left w:val="nil"/>
              <w:bottom w:val="nil"/>
              <w:right w:val="nil"/>
            </w:tcBorders>
            <w:shd w:val="clear" w:color="auto" w:fill="auto"/>
            <w:vAlign w:val="center"/>
          </w:tcPr>
          <w:p w14:paraId="1E0F633F">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29B95F19">
        <w:tblPrEx>
          <w:tblCellMar>
            <w:top w:w="0" w:type="dxa"/>
            <w:left w:w="57" w:type="dxa"/>
            <w:bottom w:w="0" w:type="dxa"/>
            <w:right w:w="57" w:type="dxa"/>
          </w:tblCellMar>
        </w:tblPrEx>
        <w:trPr>
          <w:trHeight w:val="454" w:hRule="atLeast"/>
          <w:jc w:val="center"/>
        </w:trPr>
        <w:tc>
          <w:tcPr>
            <w:tcW w:w="1474" w:type="dxa"/>
            <w:tcBorders>
              <w:top w:val="nil"/>
              <w:left w:val="nil"/>
              <w:bottom w:val="nil"/>
              <w:right w:val="nil"/>
            </w:tcBorders>
            <w:shd w:val="clear" w:color="auto" w:fill="auto"/>
            <w:vAlign w:val="center"/>
          </w:tcPr>
          <w:p w14:paraId="6839524F">
            <w:pPr>
              <w:ind w:firstLine="0" w:firstLineChars="0"/>
              <w:jc w:val="both"/>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龙舌草</w:t>
            </w:r>
          </w:p>
        </w:tc>
        <w:tc>
          <w:tcPr>
            <w:tcW w:w="3118" w:type="dxa"/>
            <w:tcBorders>
              <w:top w:val="nil"/>
              <w:left w:val="nil"/>
              <w:bottom w:val="nil"/>
              <w:right w:val="nil"/>
            </w:tcBorders>
            <w:shd w:val="clear" w:color="auto" w:fill="auto"/>
            <w:vAlign w:val="center"/>
          </w:tcPr>
          <w:p w14:paraId="6667654E">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Ottelia alismoides</w:t>
            </w:r>
          </w:p>
        </w:tc>
        <w:tc>
          <w:tcPr>
            <w:tcW w:w="850" w:type="dxa"/>
            <w:tcBorders>
              <w:top w:val="nil"/>
              <w:left w:val="nil"/>
              <w:bottom w:val="nil"/>
              <w:right w:val="nil"/>
            </w:tcBorders>
            <w:shd w:val="clear" w:color="auto" w:fill="auto"/>
            <w:vAlign w:val="center"/>
          </w:tcPr>
          <w:p w14:paraId="0B25D0D2">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二级</w:t>
            </w:r>
          </w:p>
        </w:tc>
        <w:tc>
          <w:tcPr>
            <w:tcW w:w="1587" w:type="dxa"/>
            <w:tcBorders>
              <w:top w:val="nil"/>
              <w:left w:val="nil"/>
              <w:bottom w:val="nil"/>
              <w:right w:val="nil"/>
            </w:tcBorders>
            <w:shd w:val="clear" w:color="auto" w:fill="auto"/>
            <w:vAlign w:val="center"/>
          </w:tcPr>
          <w:p w14:paraId="64F535A9">
            <w:pPr>
              <w:ind w:firstLine="0" w:firstLineChars="0"/>
              <w:jc w:val="center"/>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易危（VU）</w:t>
            </w:r>
          </w:p>
        </w:tc>
        <w:tc>
          <w:tcPr>
            <w:tcW w:w="1191" w:type="dxa"/>
            <w:tcBorders>
              <w:top w:val="nil"/>
              <w:left w:val="nil"/>
              <w:bottom w:val="nil"/>
              <w:right w:val="nil"/>
            </w:tcBorders>
            <w:shd w:val="clear" w:color="auto" w:fill="auto"/>
            <w:vAlign w:val="center"/>
          </w:tcPr>
          <w:p w14:paraId="6BDC70F3">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48EAF7EC">
        <w:tblPrEx>
          <w:tblCellMar>
            <w:top w:w="0" w:type="dxa"/>
            <w:left w:w="57" w:type="dxa"/>
            <w:bottom w:w="0" w:type="dxa"/>
            <w:right w:w="57" w:type="dxa"/>
          </w:tblCellMar>
        </w:tblPrEx>
        <w:trPr>
          <w:trHeight w:val="454" w:hRule="atLeast"/>
          <w:jc w:val="center"/>
        </w:trPr>
        <w:tc>
          <w:tcPr>
            <w:tcW w:w="1474" w:type="dxa"/>
            <w:tcBorders>
              <w:top w:val="nil"/>
              <w:left w:val="nil"/>
              <w:bottom w:val="nil"/>
              <w:right w:val="nil"/>
            </w:tcBorders>
            <w:shd w:val="clear" w:color="auto" w:fill="auto"/>
            <w:vAlign w:val="center"/>
          </w:tcPr>
          <w:p w14:paraId="3E15E6D2">
            <w:pPr>
              <w:ind w:firstLine="0" w:firstLineChars="0"/>
              <w:jc w:val="both"/>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野大豆</w:t>
            </w:r>
          </w:p>
        </w:tc>
        <w:tc>
          <w:tcPr>
            <w:tcW w:w="3118" w:type="dxa"/>
            <w:tcBorders>
              <w:top w:val="nil"/>
              <w:left w:val="nil"/>
              <w:bottom w:val="nil"/>
              <w:right w:val="nil"/>
            </w:tcBorders>
            <w:shd w:val="clear" w:color="auto" w:fill="auto"/>
            <w:vAlign w:val="center"/>
          </w:tcPr>
          <w:p w14:paraId="51864A17">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Glycine soja</w:t>
            </w:r>
          </w:p>
        </w:tc>
        <w:tc>
          <w:tcPr>
            <w:tcW w:w="850" w:type="dxa"/>
            <w:tcBorders>
              <w:top w:val="nil"/>
              <w:left w:val="nil"/>
              <w:bottom w:val="nil"/>
              <w:right w:val="nil"/>
            </w:tcBorders>
            <w:shd w:val="clear" w:color="auto" w:fill="auto"/>
            <w:vAlign w:val="center"/>
          </w:tcPr>
          <w:p w14:paraId="477689BA">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二级</w:t>
            </w:r>
          </w:p>
        </w:tc>
        <w:tc>
          <w:tcPr>
            <w:tcW w:w="1587" w:type="dxa"/>
            <w:tcBorders>
              <w:top w:val="nil"/>
              <w:left w:val="nil"/>
              <w:bottom w:val="nil"/>
              <w:right w:val="nil"/>
            </w:tcBorders>
            <w:shd w:val="clear" w:color="auto" w:fill="auto"/>
            <w:vAlign w:val="center"/>
          </w:tcPr>
          <w:p w14:paraId="385C8EDE">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无危（LC）</w:t>
            </w:r>
          </w:p>
        </w:tc>
        <w:tc>
          <w:tcPr>
            <w:tcW w:w="1191" w:type="dxa"/>
            <w:tcBorders>
              <w:top w:val="nil"/>
              <w:left w:val="nil"/>
              <w:bottom w:val="nil"/>
              <w:right w:val="nil"/>
            </w:tcBorders>
            <w:shd w:val="clear" w:color="auto" w:fill="auto"/>
            <w:vAlign w:val="center"/>
          </w:tcPr>
          <w:p w14:paraId="2708DC0A">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48E6F1B5">
        <w:tblPrEx>
          <w:tblCellMar>
            <w:top w:w="0" w:type="dxa"/>
            <w:left w:w="57" w:type="dxa"/>
            <w:bottom w:w="0" w:type="dxa"/>
            <w:right w:w="57" w:type="dxa"/>
          </w:tblCellMar>
        </w:tblPrEx>
        <w:trPr>
          <w:trHeight w:val="454" w:hRule="atLeast"/>
          <w:jc w:val="center"/>
        </w:trPr>
        <w:tc>
          <w:tcPr>
            <w:tcW w:w="1474" w:type="dxa"/>
            <w:tcBorders>
              <w:top w:val="nil"/>
              <w:left w:val="nil"/>
              <w:bottom w:val="nil"/>
              <w:right w:val="nil"/>
            </w:tcBorders>
            <w:shd w:val="clear" w:color="auto" w:fill="auto"/>
            <w:vAlign w:val="center"/>
          </w:tcPr>
          <w:p w14:paraId="2FE424B1">
            <w:pPr>
              <w:ind w:firstLine="0" w:firstLineChars="0"/>
              <w:jc w:val="both"/>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鹅掌楸</w:t>
            </w:r>
          </w:p>
        </w:tc>
        <w:tc>
          <w:tcPr>
            <w:tcW w:w="3118" w:type="dxa"/>
            <w:tcBorders>
              <w:top w:val="nil"/>
              <w:left w:val="nil"/>
              <w:bottom w:val="nil"/>
              <w:right w:val="nil"/>
            </w:tcBorders>
            <w:shd w:val="clear" w:color="auto" w:fill="auto"/>
            <w:vAlign w:val="center"/>
          </w:tcPr>
          <w:p w14:paraId="3B61291B">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Liriodendron chinense</w:t>
            </w:r>
          </w:p>
        </w:tc>
        <w:tc>
          <w:tcPr>
            <w:tcW w:w="850" w:type="dxa"/>
            <w:tcBorders>
              <w:top w:val="nil"/>
              <w:left w:val="nil"/>
              <w:bottom w:val="nil"/>
              <w:right w:val="nil"/>
            </w:tcBorders>
            <w:shd w:val="clear" w:color="auto" w:fill="auto"/>
            <w:vAlign w:val="center"/>
          </w:tcPr>
          <w:p w14:paraId="3FBEB9C0">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二级</w:t>
            </w:r>
          </w:p>
        </w:tc>
        <w:tc>
          <w:tcPr>
            <w:tcW w:w="1587" w:type="dxa"/>
            <w:tcBorders>
              <w:top w:val="nil"/>
              <w:left w:val="nil"/>
              <w:bottom w:val="nil"/>
              <w:right w:val="nil"/>
            </w:tcBorders>
            <w:shd w:val="clear" w:color="auto" w:fill="auto"/>
            <w:vAlign w:val="center"/>
          </w:tcPr>
          <w:p w14:paraId="69DFC867">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无危（LC）</w:t>
            </w:r>
          </w:p>
        </w:tc>
        <w:tc>
          <w:tcPr>
            <w:tcW w:w="1191" w:type="dxa"/>
            <w:tcBorders>
              <w:top w:val="nil"/>
              <w:left w:val="nil"/>
              <w:bottom w:val="nil"/>
              <w:right w:val="nil"/>
            </w:tcBorders>
            <w:shd w:val="clear" w:color="auto" w:fill="auto"/>
            <w:vAlign w:val="center"/>
          </w:tcPr>
          <w:p w14:paraId="34307BF9">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351ECB31">
        <w:tblPrEx>
          <w:tblCellMar>
            <w:top w:w="0" w:type="dxa"/>
            <w:left w:w="57" w:type="dxa"/>
            <w:bottom w:w="0" w:type="dxa"/>
            <w:right w:w="57" w:type="dxa"/>
          </w:tblCellMar>
        </w:tblPrEx>
        <w:trPr>
          <w:trHeight w:val="454" w:hRule="atLeast"/>
          <w:jc w:val="center"/>
        </w:trPr>
        <w:tc>
          <w:tcPr>
            <w:tcW w:w="1474" w:type="dxa"/>
            <w:tcBorders>
              <w:top w:val="nil"/>
              <w:left w:val="nil"/>
              <w:bottom w:val="nil"/>
              <w:right w:val="nil"/>
            </w:tcBorders>
            <w:shd w:val="clear" w:color="auto" w:fill="auto"/>
            <w:vAlign w:val="center"/>
          </w:tcPr>
          <w:p w14:paraId="65AB4AE1">
            <w:pPr>
              <w:ind w:firstLine="0" w:firstLineChars="0"/>
              <w:jc w:val="both"/>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金荞麦</w:t>
            </w:r>
          </w:p>
        </w:tc>
        <w:tc>
          <w:tcPr>
            <w:tcW w:w="3118" w:type="dxa"/>
            <w:tcBorders>
              <w:top w:val="nil"/>
              <w:left w:val="nil"/>
              <w:bottom w:val="nil"/>
              <w:right w:val="nil"/>
            </w:tcBorders>
            <w:shd w:val="clear" w:color="auto" w:fill="auto"/>
            <w:vAlign w:val="center"/>
          </w:tcPr>
          <w:p w14:paraId="2D8F14B7">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Fagopyrum dibotrys</w:t>
            </w:r>
          </w:p>
        </w:tc>
        <w:tc>
          <w:tcPr>
            <w:tcW w:w="850" w:type="dxa"/>
            <w:tcBorders>
              <w:top w:val="nil"/>
              <w:left w:val="nil"/>
              <w:bottom w:val="nil"/>
              <w:right w:val="nil"/>
            </w:tcBorders>
            <w:shd w:val="clear" w:color="auto" w:fill="auto"/>
            <w:vAlign w:val="center"/>
          </w:tcPr>
          <w:p w14:paraId="31394729">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二级</w:t>
            </w:r>
          </w:p>
        </w:tc>
        <w:tc>
          <w:tcPr>
            <w:tcW w:w="1587" w:type="dxa"/>
            <w:tcBorders>
              <w:top w:val="nil"/>
              <w:left w:val="nil"/>
              <w:bottom w:val="nil"/>
              <w:right w:val="nil"/>
            </w:tcBorders>
            <w:shd w:val="clear" w:color="auto" w:fill="auto"/>
            <w:vAlign w:val="center"/>
          </w:tcPr>
          <w:p w14:paraId="6FDEA6FA">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无危（LC）</w:t>
            </w:r>
          </w:p>
        </w:tc>
        <w:tc>
          <w:tcPr>
            <w:tcW w:w="1191" w:type="dxa"/>
            <w:tcBorders>
              <w:top w:val="nil"/>
              <w:left w:val="nil"/>
              <w:bottom w:val="nil"/>
              <w:right w:val="nil"/>
            </w:tcBorders>
            <w:shd w:val="clear" w:color="auto" w:fill="auto"/>
            <w:vAlign w:val="center"/>
          </w:tcPr>
          <w:p w14:paraId="57762215">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002D193E">
        <w:tblPrEx>
          <w:tblCellMar>
            <w:top w:w="0" w:type="dxa"/>
            <w:left w:w="57" w:type="dxa"/>
            <w:bottom w:w="0" w:type="dxa"/>
            <w:right w:w="57" w:type="dxa"/>
          </w:tblCellMar>
        </w:tblPrEx>
        <w:trPr>
          <w:trHeight w:val="454" w:hRule="atLeast"/>
          <w:jc w:val="center"/>
        </w:trPr>
        <w:tc>
          <w:tcPr>
            <w:tcW w:w="1474" w:type="dxa"/>
            <w:tcBorders>
              <w:top w:val="nil"/>
              <w:left w:val="nil"/>
              <w:bottom w:val="nil"/>
              <w:right w:val="nil"/>
            </w:tcBorders>
            <w:shd w:val="clear" w:color="auto" w:fill="auto"/>
            <w:vAlign w:val="center"/>
          </w:tcPr>
          <w:p w14:paraId="538612C9">
            <w:pPr>
              <w:ind w:firstLine="0" w:firstLineChars="0"/>
              <w:jc w:val="both"/>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秤锤树</w:t>
            </w:r>
          </w:p>
        </w:tc>
        <w:tc>
          <w:tcPr>
            <w:tcW w:w="3118" w:type="dxa"/>
            <w:tcBorders>
              <w:top w:val="nil"/>
              <w:left w:val="nil"/>
              <w:bottom w:val="nil"/>
              <w:right w:val="nil"/>
            </w:tcBorders>
            <w:shd w:val="clear" w:color="auto" w:fill="auto"/>
            <w:vAlign w:val="center"/>
          </w:tcPr>
          <w:p w14:paraId="13EF2457">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Sinojackia xylocarpa</w:t>
            </w:r>
          </w:p>
        </w:tc>
        <w:tc>
          <w:tcPr>
            <w:tcW w:w="850" w:type="dxa"/>
            <w:tcBorders>
              <w:top w:val="nil"/>
              <w:left w:val="nil"/>
              <w:bottom w:val="nil"/>
              <w:right w:val="nil"/>
            </w:tcBorders>
            <w:shd w:val="clear" w:color="auto" w:fill="auto"/>
            <w:vAlign w:val="center"/>
          </w:tcPr>
          <w:p w14:paraId="1A0DF983">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二级</w:t>
            </w:r>
          </w:p>
        </w:tc>
        <w:tc>
          <w:tcPr>
            <w:tcW w:w="1587" w:type="dxa"/>
            <w:tcBorders>
              <w:top w:val="nil"/>
              <w:left w:val="nil"/>
              <w:bottom w:val="nil"/>
              <w:right w:val="nil"/>
            </w:tcBorders>
            <w:shd w:val="clear" w:color="auto" w:fill="auto"/>
            <w:vAlign w:val="center"/>
          </w:tcPr>
          <w:p w14:paraId="778F5A9D">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濒危（EN）</w:t>
            </w:r>
          </w:p>
        </w:tc>
        <w:tc>
          <w:tcPr>
            <w:tcW w:w="1191" w:type="dxa"/>
            <w:tcBorders>
              <w:top w:val="nil"/>
              <w:left w:val="nil"/>
              <w:bottom w:val="nil"/>
              <w:right w:val="nil"/>
            </w:tcBorders>
            <w:shd w:val="clear" w:color="auto" w:fill="auto"/>
            <w:vAlign w:val="center"/>
          </w:tcPr>
          <w:p w14:paraId="7F3247E3">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是</w:t>
            </w:r>
          </w:p>
        </w:tc>
      </w:tr>
      <w:tr w14:paraId="565D37F2">
        <w:tblPrEx>
          <w:tblCellMar>
            <w:top w:w="0" w:type="dxa"/>
            <w:left w:w="57" w:type="dxa"/>
            <w:bottom w:w="0" w:type="dxa"/>
            <w:right w:w="57" w:type="dxa"/>
          </w:tblCellMar>
        </w:tblPrEx>
        <w:trPr>
          <w:trHeight w:val="454" w:hRule="atLeast"/>
          <w:jc w:val="center"/>
        </w:trPr>
        <w:tc>
          <w:tcPr>
            <w:tcW w:w="1474" w:type="dxa"/>
            <w:tcBorders>
              <w:top w:val="nil"/>
              <w:left w:val="nil"/>
              <w:bottom w:val="nil"/>
              <w:right w:val="nil"/>
            </w:tcBorders>
            <w:shd w:val="clear" w:color="auto" w:fill="auto"/>
            <w:vAlign w:val="center"/>
          </w:tcPr>
          <w:p w14:paraId="6CC9D5A7">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棱果秤锤树</w:t>
            </w:r>
          </w:p>
        </w:tc>
        <w:tc>
          <w:tcPr>
            <w:tcW w:w="3118" w:type="dxa"/>
            <w:tcBorders>
              <w:top w:val="nil"/>
              <w:left w:val="nil"/>
              <w:bottom w:val="nil"/>
              <w:right w:val="nil"/>
            </w:tcBorders>
            <w:shd w:val="clear" w:color="auto" w:fill="auto"/>
            <w:vAlign w:val="center"/>
          </w:tcPr>
          <w:p w14:paraId="3BD35CC8">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Sinojackia henryi</w:t>
            </w:r>
          </w:p>
        </w:tc>
        <w:tc>
          <w:tcPr>
            <w:tcW w:w="850" w:type="dxa"/>
            <w:tcBorders>
              <w:top w:val="nil"/>
              <w:left w:val="nil"/>
              <w:bottom w:val="nil"/>
              <w:right w:val="nil"/>
            </w:tcBorders>
            <w:shd w:val="clear" w:color="auto" w:fill="auto"/>
            <w:vAlign w:val="center"/>
          </w:tcPr>
          <w:p w14:paraId="24259D5E">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二级</w:t>
            </w:r>
          </w:p>
        </w:tc>
        <w:tc>
          <w:tcPr>
            <w:tcW w:w="1587" w:type="dxa"/>
            <w:tcBorders>
              <w:top w:val="nil"/>
              <w:left w:val="nil"/>
              <w:bottom w:val="nil"/>
              <w:right w:val="nil"/>
            </w:tcBorders>
            <w:shd w:val="clear" w:color="auto" w:fill="auto"/>
            <w:vAlign w:val="center"/>
          </w:tcPr>
          <w:p w14:paraId="140ED87B">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数据缺乏（DD）</w:t>
            </w:r>
          </w:p>
        </w:tc>
        <w:tc>
          <w:tcPr>
            <w:tcW w:w="1191" w:type="dxa"/>
            <w:tcBorders>
              <w:top w:val="nil"/>
              <w:left w:val="nil"/>
              <w:bottom w:val="nil"/>
              <w:right w:val="nil"/>
            </w:tcBorders>
            <w:shd w:val="clear" w:color="auto" w:fill="auto"/>
            <w:vAlign w:val="center"/>
          </w:tcPr>
          <w:p w14:paraId="05275AE9">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是</w:t>
            </w:r>
          </w:p>
        </w:tc>
      </w:tr>
      <w:tr w14:paraId="69A51DB5">
        <w:tblPrEx>
          <w:tblCellMar>
            <w:top w:w="0" w:type="dxa"/>
            <w:left w:w="57" w:type="dxa"/>
            <w:bottom w:w="0" w:type="dxa"/>
            <w:right w:w="57" w:type="dxa"/>
          </w:tblCellMar>
        </w:tblPrEx>
        <w:trPr>
          <w:trHeight w:val="454" w:hRule="atLeast"/>
          <w:jc w:val="center"/>
        </w:trPr>
        <w:tc>
          <w:tcPr>
            <w:tcW w:w="1474" w:type="dxa"/>
            <w:tcBorders>
              <w:top w:val="nil"/>
              <w:left w:val="nil"/>
              <w:bottom w:val="nil"/>
              <w:right w:val="nil"/>
            </w:tcBorders>
            <w:shd w:val="clear" w:color="auto" w:fill="auto"/>
            <w:vAlign w:val="center"/>
          </w:tcPr>
          <w:p w14:paraId="7EA8D12C">
            <w:pPr>
              <w:ind w:firstLine="0" w:firstLineChars="0"/>
              <w:jc w:val="both"/>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寒竹</w:t>
            </w:r>
          </w:p>
        </w:tc>
        <w:tc>
          <w:tcPr>
            <w:tcW w:w="3118" w:type="dxa"/>
            <w:tcBorders>
              <w:top w:val="nil"/>
              <w:left w:val="nil"/>
              <w:bottom w:val="nil"/>
              <w:right w:val="nil"/>
            </w:tcBorders>
            <w:shd w:val="clear" w:color="auto" w:fill="auto"/>
            <w:vAlign w:val="center"/>
          </w:tcPr>
          <w:p w14:paraId="77F60EA6">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Chimonobambusa marmorea</w:t>
            </w:r>
          </w:p>
        </w:tc>
        <w:tc>
          <w:tcPr>
            <w:tcW w:w="850" w:type="dxa"/>
            <w:tcBorders>
              <w:top w:val="nil"/>
              <w:left w:val="nil"/>
              <w:bottom w:val="nil"/>
              <w:right w:val="nil"/>
            </w:tcBorders>
            <w:shd w:val="clear" w:color="auto" w:fill="auto"/>
            <w:vAlign w:val="center"/>
          </w:tcPr>
          <w:p w14:paraId="520E0117">
            <w:pPr>
              <w:ind w:firstLine="0" w:firstLineChars="0"/>
              <w:jc w:val="center"/>
              <w:rPr>
                <w:rFonts w:hint="default" w:ascii="Times New Roman" w:hAnsi="Times New Roman" w:eastAsia="宋体" w:cs="Times New Roman"/>
                <w:color w:val="auto"/>
                <w:sz w:val="24"/>
                <w:szCs w:val="24"/>
              </w:rPr>
            </w:pPr>
          </w:p>
        </w:tc>
        <w:tc>
          <w:tcPr>
            <w:tcW w:w="1587" w:type="dxa"/>
            <w:tcBorders>
              <w:top w:val="nil"/>
              <w:left w:val="nil"/>
              <w:bottom w:val="nil"/>
              <w:right w:val="nil"/>
            </w:tcBorders>
            <w:shd w:val="clear" w:color="auto" w:fill="auto"/>
            <w:vAlign w:val="center"/>
          </w:tcPr>
          <w:p w14:paraId="684A33DE">
            <w:pPr>
              <w:ind w:firstLine="0" w:firstLineChars="0"/>
              <w:jc w:val="center"/>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易危（</w:t>
            </w:r>
            <w:r>
              <w:rPr>
                <w:rStyle w:val="37"/>
                <w:rFonts w:hint="default" w:ascii="Times New Roman" w:hAnsi="Times New Roman" w:cs="Times New Roman"/>
                <w:color w:val="auto"/>
                <w:sz w:val="24"/>
                <w:szCs w:val="24"/>
                <w:lang w:bidi="ar"/>
              </w:rPr>
              <w:t>VU</w:t>
            </w:r>
            <w:r>
              <w:rPr>
                <w:rStyle w:val="39"/>
                <w:rFonts w:hint="default" w:ascii="Times New Roman" w:hAnsi="Times New Roman" w:cs="Times New Roman"/>
                <w:color w:val="auto"/>
                <w:sz w:val="24"/>
                <w:szCs w:val="24"/>
                <w:lang w:bidi="ar"/>
              </w:rPr>
              <w:t>）</w:t>
            </w:r>
          </w:p>
        </w:tc>
        <w:tc>
          <w:tcPr>
            <w:tcW w:w="1191" w:type="dxa"/>
            <w:tcBorders>
              <w:top w:val="nil"/>
              <w:left w:val="nil"/>
              <w:bottom w:val="nil"/>
              <w:right w:val="nil"/>
            </w:tcBorders>
            <w:shd w:val="clear" w:color="auto" w:fill="auto"/>
            <w:vAlign w:val="center"/>
          </w:tcPr>
          <w:p w14:paraId="04D545E2">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706CE77B">
        <w:tblPrEx>
          <w:tblCellMar>
            <w:top w:w="0" w:type="dxa"/>
            <w:left w:w="57" w:type="dxa"/>
            <w:bottom w:w="0" w:type="dxa"/>
            <w:right w:w="57" w:type="dxa"/>
          </w:tblCellMar>
        </w:tblPrEx>
        <w:trPr>
          <w:trHeight w:val="454" w:hRule="atLeast"/>
          <w:jc w:val="center"/>
        </w:trPr>
        <w:tc>
          <w:tcPr>
            <w:tcW w:w="1474" w:type="dxa"/>
            <w:tcBorders>
              <w:top w:val="nil"/>
              <w:left w:val="nil"/>
              <w:bottom w:val="nil"/>
              <w:right w:val="nil"/>
            </w:tcBorders>
            <w:shd w:val="clear" w:color="auto" w:fill="auto"/>
            <w:vAlign w:val="center"/>
          </w:tcPr>
          <w:p w14:paraId="14CD6583">
            <w:pPr>
              <w:ind w:firstLine="0" w:firstLineChars="0"/>
              <w:jc w:val="both"/>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萍蓬草</w:t>
            </w:r>
          </w:p>
        </w:tc>
        <w:tc>
          <w:tcPr>
            <w:tcW w:w="3118" w:type="dxa"/>
            <w:tcBorders>
              <w:top w:val="nil"/>
              <w:left w:val="nil"/>
              <w:bottom w:val="nil"/>
              <w:right w:val="nil"/>
            </w:tcBorders>
            <w:shd w:val="clear" w:color="auto" w:fill="auto"/>
            <w:vAlign w:val="center"/>
          </w:tcPr>
          <w:p w14:paraId="383AAF23">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Nuphar pumila</w:t>
            </w:r>
          </w:p>
        </w:tc>
        <w:tc>
          <w:tcPr>
            <w:tcW w:w="850" w:type="dxa"/>
            <w:tcBorders>
              <w:top w:val="nil"/>
              <w:left w:val="nil"/>
              <w:bottom w:val="nil"/>
              <w:right w:val="nil"/>
            </w:tcBorders>
            <w:shd w:val="clear" w:color="auto" w:fill="auto"/>
            <w:vAlign w:val="center"/>
          </w:tcPr>
          <w:p w14:paraId="43C3C224">
            <w:pPr>
              <w:ind w:firstLine="0" w:firstLineChars="0"/>
              <w:jc w:val="center"/>
              <w:rPr>
                <w:rFonts w:hint="default" w:ascii="Times New Roman" w:hAnsi="Times New Roman" w:eastAsia="宋体" w:cs="Times New Roman"/>
                <w:color w:val="auto"/>
                <w:sz w:val="24"/>
                <w:szCs w:val="24"/>
              </w:rPr>
            </w:pPr>
          </w:p>
        </w:tc>
        <w:tc>
          <w:tcPr>
            <w:tcW w:w="1587" w:type="dxa"/>
            <w:tcBorders>
              <w:top w:val="nil"/>
              <w:left w:val="nil"/>
              <w:bottom w:val="nil"/>
              <w:right w:val="nil"/>
            </w:tcBorders>
            <w:shd w:val="clear" w:color="auto" w:fill="auto"/>
            <w:vAlign w:val="center"/>
          </w:tcPr>
          <w:p w14:paraId="46D6E554">
            <w:pPr>
              <w:ind w:firstLine="0" w:firstLineChars="0"/>
              <w:jc w:val="center"/>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易危（</w:t>
            </w:r>
            <w:r>
              <w:rPr>
                <w:rStyle w:val="37"/>
                <w:rFonts w:hint="default" w:ascii="Times New Roman" w:hAnsi="Times New Roman" w:cs="Times New Roman"/>
                <w:color w:val="auto"/>
                <w:sz w:val="24"/>
                <w:szCs w:val="24"/>
                <w:lang w:bidi="ar"/>
              </w:rPr>
              <w:t>VU</w:t>
            </w:r>
            <w:r>
              <w:rPr>
                <w:rStyle w:val="39"/>
                <w:rFonts w:hint="default" w:ascii="Times New Roman" w:hAnsi="Times New Roman" w:cs="Times New Roman"/>
                <w:color w:val="auto"/>
                <w:sz w:val="24"/>
                <w:szCs w:val="24"/>
                <w:lang w:bidi="ar"/>
              </w:rPr>
              <w:t>）</w:t>
            </w:r>
          </w:p>
        </w:tc>
        <w:tc>
          <w:tcPr>
            <w:tcW w:w="1191" w:type="dxa"/>
            <w:tcBorders>
              <w:top w:val="nil"/>
              <w:left w:val="nil"/>
              <w:bottom w:val="nil"/>
              <w:right w:val="nil"/>
            </w:tcBorders>
            <w:shd w:val="clear" w:color="auto" w:fill="auto"/>
            <w:vAlign w:val="center"/>
          </w:tcPr>
          <w:p w14:paraId="55C25CC3">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2FFE111B">
        <w:tblPrEx>
          <w:tblCellMar>
            <w:top w:w="0" w:type="dxa"/>
            <w:left w:w="57" w:type="dxa"/>
            <w:bottom w:w="0" w:type="dxa"/>
            <w:right w:w="57" w:type="dxa"/>
          </w:tblCellMar>
        </w:tblPrEx>
        <w:trPr>
          <w:trHeight w:val="454" w:hRule="atLeast"/>
          <w:jc w:val="center"/>
        </w:trPr>
        <w:tc>
          <w:tcPr>
            <w:tcW w:w="1474" w:type="dxa"/>
            <w:tcBorders>
              <w:top w:val="nil"/>
              <w:left w:val="nil"/>
              <w:bottom w:val="nil"/>
              <w:right w:val="nil"/>
            </w:tcBorders>
            <w:shd w:val="clear" w:color="auto" w:fill="auto"/>
            <w:vAlign w:val="center"/>
          </w:tcPr>
          <w:p w14:paraId="7FFEEBCF">
            <w:pPr>
              <w:ind w:firstLine="0" w:firstLineChars="0"/>
              <w:jc w:val="both"/>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朵花椒</w:t>
            </w:r>
          </w:p>
        </w:tc>
        <w:tc>
          <w:tcPr>
            <w:tcW w:w="3118" w:type="dxa"/>
            <w:tcBorders>
              <w:top w:val="nil"/>
              <w:left w:val="nil"/>
              <w:bottom w:val="nil"/>
              <w:right w:val="nil"/>
            </w:tcBorders>
            <w:shd w:val="clear" w:color="auto" w:fill="auto"/>
            <w:vAlign w:val="center"/>
          </w:tcPr>
          <w:p w14:paraId="5ECBA2CC">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Zanthoxylum molle</w:t>
            </w:r>
          </w:p>
        </w:tc>
        <w:tc>
          <w:tcPr>
            <w:tcW w:w="850" w:type="dxa"/>
            <w:tcBorders>
              <w:top w:val="nil"/>
              <w:left w:val="nil"/>
              <w:bottom w:val="nil"/>
              <w:right w:val="nil"/>
            </w:tcBorders>
            <w:shd w:val="clear" w:color="auto" w:fill="auto"/>
            <w:vAlign w:val="center"/>
          </w:tcPr>
          <w:p w14:paraId="45B4E4B2">
            <w:pPr>
              <w:ind w:firstLine="0" w:firstLineChars="0"/>
              <w:jc w:val="center"/>
              <w:rPr>
                <w:rFonts w:hint="default" w:ascii="Times New Roman" w:hAnsi="Times New Roman" w:eastAsia="宋体" w:cs="Times New Roman"/>
                <w:color w:val="auto"/>
                <w:sz w:val="24"/>
                <w:szCs w:val="24"/>
              </w:rPr>
            </w:pPr>
          </w:p>
        </w:tc>
        <w:tc>
          <w:tcPr>
            <w:tcW w:w="1587" w:type="dxa"/>
            <w:tcBorders>
              <w:top w:val="nil"/>
              <w:left w:val="nil"/>
              <w:bottom w:val="nil"/>
              <w:right w:val="nil"/>
            </w:tcBorders>
            <w:shd w:val="clear" w:color="auto" w:fill="auto"/>
            <w:vAlign w:val="center"/>
          </w:tcPr>
          <w:p w14:paraId="06F79785">
            <w:pPr>
              <w:ind w:firstLine="0" w:firstLineChars="0"/>
              <w:jc w:val="center"/>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易危（</w:t>
            </w:r>
            <w:r>
              <w:rPr>
                <w:rStyle w:val="37"/>
                <w:rFonts w:hint="default" w:ascii="Times New Roman" w:hAnsi="Times New Roman" w:cs="Times New Roman"/>
                <w:color w:val="auto"/>
                <w:sz w:val="24"/>
                <w:szCs w:val="24"/>
                <w:lang w:bidi="ar"/>
              </w:rPr>
              <w:t>VU</w:t>
            </w:r>
            <w:r>
              <w:rPr>
                <w:rStyle w:val="39"/>
                <w:rFonts w:hint="default" w:ascii="Times New Roman" w:hAnsi="Times New Roman" w:cs="Times New Roman"/>
                <w:color w:val="auto"/>
                <w:sz w:val="24"/>
                <w:szCs w:val="24"/>
                <w:lang w:bidi="ar"/>
              </w:rPr>
              <w:t>）</w:t>
            </w:r>
          </w:p>
        </w:tc>
        <w:tc>
          <w:tcPr>
            <w:tcW w:w="1191" w:type="dxa"/>
            <w:tcBorders>
              <w:top w:val="nil"/>
              <w:left w:val="nil"/>
              <w:bottom w:val="nil"/>
              <w:right w:val="nil"/>
            </w:tcBorders>
            <w:shd w:val="clear" w:color="auto" w:fill="auto"/>
            <w:vAlign w:val="center"/>
          </w:tcPr>
          <w:p w14:paraId="16FBDD23">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是</w:t>
            </w:r>
          </w:p>
        </w:tc>
      </w:tr>
      <w:tr w14:paraId="56415752">
        <w:tblPrEx>
          <w:tblCellMar>
            <w:top w:w="0" w:type="dxa"/>
            <w:left w:w="57" w:type="dxa"/>
            <w:bottom w:w="0" w:type="dxa"/>
            <w:right w:w="57" w:type="dxa"/>
          </w:tblCellMar>
        </w:tblPrEx>
        <w:trPr>
          <w:trHeight w:val="454" w:hRule="atLeast"/>
          <w:jc w:val="center"/>
        </w:trPr>
        <w:tc>
          <w:tcPr>
            <w:tcW w:w="1474" w:type="dxa"/>
            <w:tcBorders>
              <w:top w:val="nil"/>
              <w:left w:val="nil"/>
              <w:bottom w:val="single" w:color="000000" w:sz="12" w:space="0"/>
              <w:right w:val="nil"/>
            </w:tcBorders>
            <w:shd w:val="clear" w:color="auto" w:fill="auto"/>
            <w:vAlign w:val="center"/>
          </w:tcPr>
          <w:p w14:paraId="6B2C17DF">
            <w:pPr>
              <w:ind w:firstLine="0" w:firstLineChars="0"/>
              <w:jc w:val="both"/>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川含笑</w:t>
            </w:r>
          </w:p>
        </w:tc>
        <w:tc>
          <w:tcPr>
            <w:tcW w:w="3118" w:type="dxa"/>
            <w:tcBorders>
              <w:top w:val="nil"/>
              <w:left w:val="nil"/>
              <w:bottom w:val="single" w:color="000000" w:sz="12" w:space="0"/>
              <w:right w:val="nil"/>
            </w:tcBorders>
            <w:shd w:val="clear" w:color="auto" w:fill="auto"/>
            <w:vAlign w:val="center"/>
          </w:tcPr>
          <w:p w14:paraId="795D2322">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Michelia wilsonii</w:t>
            </w:r>
          </w:p>
        </w:tc>
        <w:tc>
          <w:tcPr>
            <w:tcW w:w="850" w:type="dxa"/>
            <w:tcBorders>
              <w:top w:val="nil"/>
              <w:left w:val="nil"/>
              <w:bottom w:val="single" w:color="000000" w:sz="12" w:space="0"/>
              <w:right w:val="nil"/>
            </w:tcBorders>
            <w:shd w:val="clear" w:color="auto" w:fill="auto"/>
            <w:vAlign w:val="center"/>
          </w:tcPr>
          <w:p w14:paraId="71427A4C">
            <w:pPr>
              <w:ind w:firstLine="0" w:firstLineChars="0"/>
              <w:jc w:val="center"/>
              <w:rPr>
                <w:rFonts w:hint="default" w:ascii="Times New Roman" w:hAnsi="Times New Roman" w:eastAsia="宋体" w:cs="Times New Roman"/>
                <w:color w:val="auto"/>
                <w:sz w:val="24"/>
                <w:szCs w:val="24"/>
              </w:rPr>
            </w:pPr>
          </w:p>
        </w:tc>
        <w:tc>
          <w:tcPr>
            <w:tcW w:w="1587" w:type="dxa"/>
            <w:tcBorders>
              <w:top w:val="nil"/>
              <w:left w:val="nil"/>
              <w:bottom w:val="single" w:color="000000" w:sz="12" w:space="0"/>
              <w:right w:val="nil"/>
            </w:tcBorders>
            <w:shd w:val="clear" w:color="auto" w:fill="auto"/>
            <w:vAlign w:val="center"/>
          </w:tcPr>
          <w:p w14:paraId="3A3C1A7A">
            <w:pPr>
              <w:ind w:firstLine="0" w:firstLineChars="0"/>
              <w:jc w:val="center"/>
              <w:rPr>
                <w:rFonts w:hint="default" w:ascii="Times New Roman" w:hAnsi="Times New Roman" w:eastAsia="宋体" w:cs="Times New Roman"/>
                <w:color w:val="auto"/>
                <w:sz w:val="24"/>
                <w:szCs w:val="24"/>
              </w:rPr>
            </w:pPr>
            <w:r>
              <w:rPr>
                <w:rStyle w:val="39"/>
                <w:rFonts w:hint="default" w:ascii="Times New Roman" w:hAnsi="Times New Roman" w:cs="Times New Roman"/>
                <w:color w:val="auto"/>
                <w:sz w:val="24"/>
                <w:szCs w:val="24"/>
                <w:lang w:bidi="ar"/>
              </w:rPr>
              <w:t>易危（</w:t>
            </w:r>
            <w:r>
              <w:rPr>
                <w:rStyle w:val="37"/>
                <w:rFonts w:hint="default" w:ascii="Times New Roman" w:hAnsi="Times New Roman" w:cs="Times New Roman"/>
                <w:color w:val="auto"/>
                <w:sz w:val="24"/>
                <w:szCs w:val="24"/>
                <w:lang w:bidi="ar"/>
              </w:rPr>
              <w:t>VU</w:t>
            </w:r>
            <w:r>
              <w:rPr>
                <w:rStyle w:val="39"/>
                <w:rFonts w:hint="default" w:ascii="Times New Roman" w:hAnsi="Times New Roman" w:cs="Times New Roman"/>
                <w:color w:val="auto"/>
                <w:sz w:val="24"/>
                <w:szCs w:val="24"/>
                <w:lang w:bidi="ar"/>
              </w:rPr>
              <w:t>）</w:t>
            </w:r>
          </w:p>
        </w:tc>
        <w:tc>
          <w:tcPr>
            <w:tcW w:w="1191" w:type="dxa"/>
            <w:tcBorders>
              <w:top w:val="nil"/>
              <w:left w:val="nil"/>
              <w:bottom w:val="single" w:color="000000" w:sz="12" w:space="0"/>
              <w:right w:val="nil"/>
            </w:tcBorders>
            <w:shd w:val="clear" w:color="auto" w:fill="auto"/>
            <w:vAlign w:val="center"/>
          </w:tcPr>
          <w:p w14:paraId="00C7C1B8">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是</w:t>
            </w:r>
          </w:p>
        </w:tc>
      </w:tr>
    </w:tbl>
    <w:p w14:paraId="72883323">
      <w:pPr>
        <w:ind w:firstLine="640"/>
        <w:jc w:val="both"/>
        <w:rPr>
          <w:rFonts w:hint="default" w:ascii="Times New Roman" w:hAnsi="Times New Roman" w:cs="Times New Roman"/>
          <w:color w:val="auto"/>
        </w:rPr>
      </w:pPr>
    </w:p>
    <w:p w14:paraId="1DD192A7">
      <w:pPr>
        <w:pStyle w:val="7"/>
        <w:ind w:firstLine="640"/>
        <w:jc w:val="both"/>
        <w:rPr>
          <w:rFonts w:hint="default" w:ascii="Times New Roman" w:hAnsi="Times New Roman" w:cs="Times New Roman"/>
          <w:b w:val="0"/>
          <w:bCs w:val="0"/>
          <w:color w:val="auto"/>
        </w:rPr>
      </w:pPr>
      <w:bookmarkStart w:id="149" w:name="_Toc147668076"/>
      <w:bookmarkStart w:id="150" w:name="_Toc22909"/>
      <w:bookmarkStart w:id="151" w:name="_Toc25147"/>
      <w:r>
        <w:rPr>
          <w:rFonts w:hint="default" w:ascii="Times New Roman" w:hAnsi="Times New Roman" w:cs="Times New Roman"/>
          <w:b w:val="0"/>
          <w:bCs w:val="0"/>
          <w:color w:val="auto"/>
        </w:rPr>
        <w:t>2.</w:t>
      </w:r>
      <w:bookmarkEnd w:id="149"/>
      <w:bookmarkEnd w:id="150"/>
      <w:bookmarkEnd w:id="151"/>
      <w:r>
        <w:rPr>
          <w:rFonts w:hint="default" w:ascii="Times New Roman" w:hAnsi="Times New Roman" w:cs="Times New Roman"/>
          <w:b w:val="0"/>
          <w:bCs w:val="0"/>
          <w:color w:val="auto"/>
        </w:rPr>
        <w:t>哺乳类</w:t>
      </w:r>
    </w:p>
    <w:p w14:paraId="3A114F0B">
      <w:pPr>
        <w:ind w:firstLine="640"/>
        <w:jc w:val="both"/>
        <w:rPr>
          <w:rFonts w:hint="default" w:ascii="Times New Roman" w:hAnsi="Times New Roman" w:cs="Times New Roman"/>
          <w:color w:val="auto"/>
        </w:rPr>
      </w:pPr>
      <w:r>
        <w:rPr>
          <w:rFonts w:hint="default" w:ascii="Times New Roman" w:hAnsi="Times New Roman" w:cs="Times New Roman"/>
          <w:color w:val="auto"/>
        </w:rPr>
        <w:t>武汉市哺乳</w:t>
      </w:r>
      <w:r>
        <w:rPr>
          <w:rFonts w:hint="default" w:ascii="Times New Roman" w:hAnsi="Times New Roman" w:cs="Times New Roman"/>
          <w:color w:val="auto"/>
          <w:lang w:eastAsia="zh-CN"/>
        </w:rPr>
        <w:t>类</w:t>
      </w:r>
      <w:r>
        <w:rPr>
          <w:rFonts w:hint="default" w:ascii="Times New Roman" w:hAnsi="Times New Roman" w:cs="Times New Roman"/>
          <w:color w:val="auto"/>
        </w:rPr>
        <w:t>优先保护物种共计5种。</w:t>
      </w:r>
    </w:p>
    <w:p w14:paraId="212AE4C0">
      <w:pPr>
        <w:ind w:firstLine="640"/>
        <w:jc w:val="both"/>
        <w:rPr>
          <w:rFonts w:hint="default" w:ascii="Times New Roman" w:hAnsi="Times New Roman" w:cs="Times New Roman"/>
          <w:color w:val="auto"/>
        </w:rPr>
      </w:pPr>
      <w:r>
        <w:rPr>
          <w:rFonts w:hint="default" w:ascii="Times New Roman" w:hAnsi="Times New Roman" w:cs="Times New Roman"/>
          <w:color w:val="auto"/>
        </w:rPr>
        <w:t>（1）陆生哺乳动物</w:t>
      </w:r>
    </w:p>
    <w:p w14:paraId="23235D70">
      <w:pPr>
        <w:ind w:firstLine="640"/>
        <w:jc w:val="both"/>
        <w:rPr>
          <w:rFonts w:hint="default" w:ascii="Times New Roman" w:hAnsi="Times New Roman" w:cs="Times New Roman"/>
          <w:color w:val="auto"/>
        </w:rPr>
      </w:pPr>
      <w:r>
        <w:rPr>
          <w:rFonts w:hint="default" w:ascii="Times New Roman" w:hAnsi="Times New Roman" w:cs="Times New Roman"/>
          <w:color w:val="auto"/>
        </w:rPr>
        <w:t>陆生哺乳动物优先保护物种包括小灵猫（</w:t>
      </w:r>
      <w:r>
        <w:rPr>
          <w:rFonts w:hint="default" w:ascii="Times New Roman" w:hAnsi="Times New Roman" w:cs="Times New Roman"/>
          <w:i/>
          <w:color w:val="auto"/>
        </w:rPr>
        <w:t>Viverricula indica</w:t>
      </w:r>
      <w:r>
        <w:rPr>
          <w:rFonts w:hint="default" w:ascii="Times New Roman" w:hAnsi="Times New Roman" w:cs="Times New Roman"/>
          <w:color w:val="auto"/>
        </w:rPr>
        <w:t>）、豹猫（</w:t>
      </w:r>
      <w:r>
        <w:rPr>
          <w:rFonts w:hint="default" w:ascii="Times New Roman" w:hAnsi="Times New Roman" w:cs="Times New Roman"/>
          <w:i/>
          <w:iCs/>
          <w:color w:val="auto"/>
        </w:rPr>
        <w:t>Prionailurus bengalensis</w:t>
      </w:r>
      <w:r>
        <w:rPr>
          <w:rFonts w:hint="default" w:ascii="Times New Roman" w:hAnsi="Times New Roman" w:cs="Times New Roman"/>
          <w:color w:val="auto"/>
        </w:rPr>
        <w:t>）、貉（</w:t>
      </w:r>
      <w:r>
        <w:rPr>
          <w:rFonts w:hint="default" w:ascii="Times New Roman" w:hAnsi="Times New Roman" w:cs="Times New Roman"/>
          <w:i/>
          <w:iCs/>
          <w:color w:val="auto"/>
        </w:rPr>
        <w:t>Nyctereutes procyonoides</w:t>
      </w:r>
      <w:r>
        <w:rPr>
          <w:rFonts w:hint="default" w:ascii="Times New Roman" w:hAnsi="Times New Roman" w:cs="Times New Roman"/>
          <w:color w:val="auto"/>
        </w:rPr>
        <w:t>），以及獐（</w:t>
      </w:r>
      <w:r>
        <w:rPr>
          <w:rFonts w:hint="default" w:ascii="Times New Roman" w:hAnsi="Times New Roman" w:cs="Times New Roman"/>
          <w:i/>
          <w:iCs/>
          <w:color w:val="auto"/>
        </w:rPr>
        <w:t>Hydropotes inermis</w:t>
      </w:r>
      <w:r>
        <w:rPr>
          <w:rFonts w:hint="default" w:ascii="Times New Roman" w:hAnsi="Times New Roman" w:cs="Times New Roman"/>
          <w:color w:val="auto"/>
        </w:rPr>
        <w:t>）等4种。</w:t>
      </w:r>
    </w:p>
    <w:p w14:paraId="7A8C55AF">
      <w:pPr>
        <w:ind w:firstLine="640"/>
        <w:jc w:val="both"/>
        <w:rPr>
          <w:rFonts w:hint="default" w:ascii="Times New Roman" w:hAnsi="Times New Roman" w:cs="Times New Roman"/>
          <w:color w:val="auto"/>
        </w:rPr>
      </w:pPr>
      <w:r>
        <w:rPr>
          <w:rFonts w:hint="default" w:ascii="Times New Roman" w:hAnsi="Times New Roman" w:cs="Times New Roman"/>
          <w:color w:val="auto"/>
        </w:rPr>
        <w:t>其中，小灵猫为国家一级重点保护野生动物，红色名录中被列为近危物种，分布在武汉市黄陂区，主要栖息在草地和灌丛。豹猫为国家二级重点保护野生动物，红色名录中被列为易危物种，曾在武汉市各区都有分布记录，主要栖息在森林、草地和农田。貉为国家二级重点保护野生动物，红色名录中被列为近危物种，主要分布在蔡甸区，主要栖息在靠近水源的开阔林地、茂密的灌丛和芦苇地。獐为国家二级重点保护野生动物，红色名录中被列为易危物种，主要分布在蔡甸区，栖息于有河谷的地势较为低洼的草地和芦苇荡。陆生哺乳动物的主要威胁是栖息地被侵占或破坏。</w:t>
      </w:r>
    </w:p>
    <w:p w14:paraId="7FDD85F2">
      <w:pPr>
        <w:ind w:firstLine="640"/>
        <w:jc w:val="both"/>
        <w:rPr>
          <w:rFonts w:hint="default" w:ascii="Times New Roman" w:hAnsi="Times New Roman" w:cs="Times New Roman"/>
          <w:color w:val="auto"/>
        </w:rPr>
      </w:pPr>
      <w:r>
        <w:rPr>
          <w:rFonts w:hint="default" w:ascii="Times New Roman" w:hAnsi="Times New Roman" w:cs="Times New Roman"/>
          <w:color w:val="auto"/>
        </w:rPr>
        <w:t>（2）水生哺乳动物</w:t>
      </w:r>
    </w:p>
    <w:p w14:paraId="64E1C01D">
      <w:pPr>
        <w:ind w:firstLine="640"/>
        <w:jc w:val="both"/>
        <w:rPr>
          <w:rFonts w:hint="default" w:ascii="Times New Roman" w:hAnsi="Times New Roman" w:cs="Times New Roman"/>
          <w:color w:val="auto"/>
        </w:rPr>
      </w:pPr>
      <w:r>
        <w:rPr>
          <w:rFonts w:hint="default" w:ascii="Times New Roman" w:hAnsi="Times New Roman" w:cs="Times New Roman"/>
          <w:color w:val="auto"/>
        </w:rPr>
        <w:t>水生哺乳动物中优先保护物种为长江江豚（</w:t>
      </w:r>
      <w:r>
        <w:rPr>
          <w:rFonts w:hint="default" w:ascii="Times New Roman" w:hAnsi="Times New Roman" w:cs="Times New Roman"/>
          <w:i/>
          <w:color w:val="auto"/>
        </w:rPr>
        <w:t>Neophocaena asiaeorientalis</w:t>
      </w:r>
      <w:r>
        <w:rPr>
          <w:rFonts w:hint="default" w:ascii="Times New Roman" w:hAnsi="Times New Roman" w:cs="Times New Roman"/>
          <w:color w:val="auto"/>
        </w:rPr>
        <w:t>）。长江江豚属于国家一级重点保护野生动物，红色名录中被列为极危物种，主要分布在武汉市长江段干流河道及部分支流水系中，喜欢在有江心洲的水域栖息，也会在一些大弯回水区活动。长江江豚的主要威胁是各种人类活动干扰。</w:t>
      </w:r>
    </w:p>
    <w:p w14:paraId="078FE975">
      <w:pPr>
        <w:spacing w:after="156" w:afterLines="50"/>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表4-2 哺乳类优先保护物种名录</w:t>
      </w:r>
    </w:p>
    <w:tbl>
      <w:tblPr>
        <w:tblStyle w:val="27"/>
        <w:tblW w:w="8341" w:type="dxa"/>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57" w:type="dxa"/>
          <w:bottom w:w="0" w:type="dxa"/>
          <w:right w:w="57" w:type="dxa"/>
        </w:tblCellMar>
      </w:tblPr>
      <w:tblGrid>
        <w:gridCol w:w="1381"/>
        <w:gridCol w:w="3163"/>
        <w:gridCol w:w="864"/>
        <w:gridCol w:w="1610"/>
        <w:gridCol w:w="1323"/>
      </w:tblGrid>
      <w:tr w14:paraId="66A5F91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tblHeader/>
          <w:jc w:val="center"/>
        </w:trPr>
        <w:tc>
          <w:tcPr>
            <w:tcW w:w="1381" w:type="dxa"/>
            <w:tcBorders>
              <w:top w:val="single" w:color="auto" w:sz="8" w:space="0"/>
              <w:bottom w:val="single" w:color="auto" w:sz="4" w:space="0"/>
            </w:tcBorders>
            <w:shd w:val="clear" w:color="auto" w:fill="auto"/>
            <w:vAlign w:val="center"/>
          </w:tcPr>
          <w:p w14:paraId="300D5C08">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物种中文名</w:t>
            </w:r>
          </w:p>
        </w:tc>
        <w:tc>
          <w:tcPr>
            <w:tcW w:w="3163" w:type="dxa"/>
            <w:tcBorders>
              <w:top w:val="single" w:color="auto" w:sz="8" w:space="0"/>
              <w:bottom w:val="single" w:color="auto" w:sz="4" w:space="0"/>
            </w:tcBorders>
            <w:shd w:val="clear" w:color="auto" w:fill="auto"/>
            <w:vAlign w:val="center"/>
          </w:tcPr>
          <w:p w14:paraId="6C8872DF">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物种学名</w:t>
            </w:r>
          </w:p>
        </w:tc>
        <w:tc>
          <w:tcPr>
            <w:tcW w:w="864" w:type="dxa"/>
            <w:tcBorders>
              <w:top w:val="single" w:color="auto" w:sz="8" w:space="0"/>
              <w:bottom w:val="single" w:color="auto" w:sz="4" w:space="0"/>
            </w:tcBorders>
            <w:shd w:val="clear" w:color="auto" w:fill="auto"/>
            <w:vAlign w:val="center"/>
          </w:tcPr>
          <w:p w14:paraId="6D524D0C">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保护</w:t>
            </w:r>
          </w:p>
          <w:p w14:paraId="478EF864">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等级</w:t>
            </w:r>
          </w:p>
        </w:tc>
        <w:tc>
          <w:tcPr>
            <w:tcW w:w="1610" w:type="dxa"/>
            <w:tcBorders>
              <w:top w:val="single" w:color="auto" w:sz="8" w:space="0"/>
              <w:bottom w:val="single" w:color="auto" w:sz="4" w:space="0"/>
            </w:tcBorders>
            <w:shd w:val="clear" w:color="auto" w:fill="auto"/>
            <w:vAlign w:val="center"/>
          </w:tcPr>
          <w:p w14:paraId="16FA64F5">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濒危等级</w:t>
            </w:r>
          </w:p>
        </w:tc>
        <w:tc>
          <w:tcPr>
            <w:tcW w:w="1323" w:type="dxa"/>
            <w:tcBorders>
              <w:top w:val="single" w:color="auto" w:sz="8" w:space="0"/>
              <w:bottom w:val="single" w:color="auto" w:sz="4" w:space="0"/>
            </w:tcBorders>
            <w:shd w:val="clear" w:color="auto" w:fill="auto"/>
            <w:vAlign w:val="center"/>
          </w:tcPr>
          <w:p w14:paraId="3D16F10A">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是否中国特有种</w:t>
            </w:r>
          </w:p>
        </w:tc>
      </w:tr>
      <w:tr w14:paraId="5D66C6B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tblHeader/>
          <w:jc w:val="center"/>
        </w:trPr>
        <w:tc>
          <w:tcPr>
            <w:tcW w:w="1381" w:type="dxa"/>
            <w:shd w:val="clear" w:color="auto" w:fill="auto"/>
            <w:vAlign w:val="center"/>
          </w:tcPr>
          <w:p w14:paraId="6E17DC69">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小灵猫</w:t>
            </w:r>
          </w:p>
        </w:tc>
        <w:tc>
          <w:tcPr>
            <w:tcW w:w="3163" w:type="dxa"/>
            <w:shd w:val="clear" w:color="auto" w:fill="auto"/>
            <w:vAlign w:val="center"/>
          </w:tcPr>
          <w:p w14:paraId="3D204D91">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Viverricula indica</w:t>
            </w:r>
          </w:p>
        </w:tc>
        <w:tc>
          <w:tcPr>
            <w:tcW w:w="864" w:type="dxa"/>
            <w:shd w:val="clear" w:color="auto" w:fill="auto"/>
            <w:vAlign w:val="center"/>
          </w:tcPr>
          <w:p w14:paraId="2698644D">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一级</w:t>
            </w:r>
          </w:p>
        </w:tc>
        <w:tc>
          <w:tcPr>
            <w:tcW w:w="1610" w:type="dxa"/>
            <w:shd w:val="clear" w:color="auto" w:fill="auto"/>
            <w:vAlign w:val="center"/>
          </w:tcPr>
          <w:p w14:paraId="5BEA98FF">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近危（NT）</w:t>
            </w:r>
          </w:p>
        </w:tc>
        <w:tc>
          <w:tcPr>
            <w:tcW w:w="1323" w:type="dxa"/>
            <w:shd w:val="clear" w:color="auto" w:fill="auto"/>
            <w:vAlign w:val="center"/>
          </w:tcPr>
          <w:p w14:paraId="0A6FCCCD">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63812413">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tblHeader/>
          <w:jc w:val="center"/>
        </w:trPr>
        <w:tc>
          <w:tcPr>
            <w:tcW w:w="1381" w:type="dxa"/>
            <w:shd w:val="clear" w:color="auto" w:fill="auto"/>
            <w:vAlign w:val="center"/>
          </w:tcPr>
          <w:p w14:paraId="5F7A7CDD">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长江江豚</w:t>
            </w:r>
          </w:p>
        </w:tc>
        <w:tc>
          <w:tcPr>
            <w:tcW w:w="3163" w:type="dxa"/>
            <w:shd w:val="clear" w:color="auto" w:fill="auto"/>
            <w:vAlign w:val="center"/>
          </w:tcPr>
          <w:p w14:paraId="49D29F26">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Neophocaena asiaeorientalis</w:t>
            </w:r>
          </w:p>
        </w:tc>
        <w:tc>
          <w:tcPr>
            <w:tcW w:w="864" w:type="dxa"/>
            <w:shd w:val="clear" w:color="auto" w:fill="auto"/>
            <w:vAlign w:val="center"/>
          </w:tcPr>
          <w:p w14:paraId="700F5DF5">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一级</w:t>
            </w:r>
          </w:p>
        </w:tc>
        <w:tc>
          <w:tcPr>
            <w:tcW w:w="1610" w:type="dxa"/>
            <w:shd w:val="clear" w:color="auto" w:fill="auto"/>
            <w:vAlign w:val="center"/>
          </w:tcPr>
          <w:p w14:paraId="532AE8E5">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极危（CR）</w:t>
            </w:r>
          </w:p>
        </w:tc>
        <w:tc>
          <w:tcPr>
            <w:tcW w:w="1323" w:type="dxa"/>
            <w:shd w:val="clear" w:color="auto" w:fill="auto"/>
            <w:vAlign w:val="center"/>
          </w:tcPr>
          <w:p w14:paraId="0B69C36E">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w:t>
            </w:r>
          </w:p>
        </w:tc>
      </w:tr>
      <w:tr w14:paraId="7D7FE3E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tblHeader/>
          <w:jc w:val="center"/>
        </w:trPr>
        <w:tc>
          <w:tcPr>
            <w:tcW w:w="1381" w:type="dxa"/>
            <w:shd w:val="clear" w:color="auto" w:fill="auto"/>
            <w:vAlign w:val="center"/>
          </w:tcPr>
          <w:p w14:paraId="06DB5F91">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豹猫</w:t>
            </w:r>
          </w:p>
        </w:tc>
        <w:tc>
          <w:tcPr>
            <w:tcW w:w="3163" w:type="dxa"/>
            <w:shd w:val="clear" w:color="auto" w:fill="auto"/>
            <w:vAlign w:val="center"/>
          </w:tcPr>
          <w:p w14:paraId="7288B30E">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Prionailurus bengalensis</w:t>
            </w:r>
          </w:p>
        </w:tc>
        <w:tc>
          <w:tcPr>
            <w:tcW w:w="864" w:type="dxa"/>
            <w:shd w:val="clear" w:color="auto" w:fill="auto"/>
            <w:vAlign w:val="center"/>
          </w:tcPr>
          <w:p w14:paraId="16964717">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二级</w:t>
            </w:r>
          </w:p>
        </w:tc>
        <w:tc>
          <w:tcPr>
            <w:tcW w:w="1610" w:type="dxa"/>
            <w:shd w:val="clear" w:color="auto" w:fill="auto"/>
            <w:vAlign w:val="center"/>
          </w:tcPr>
          <w:p w14:paraId="6D8624C6">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易危（VU）</w:t>
            </w:r>
          </w:p>
        </w:tc>
        <w:tc>
          <w:tcPr>
            <w:tcW w:w="1323" w:type="dxa"/>
            <w:shd w:val="clear" w:color="auto" w:fill="auto"/>
            <w:vAlign w:val="center"/>
          </w:tcPr>
          <w:p w14:paraId="68DD650E">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761FA77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tblHeader/>
          <w:jc w:val="center"/>
        </w:trPr>
        <w:tc>
          <w:tcPr>
            <w:tcW w:w="1381" w:type="dxa"/>
            <w:shd w:val="clear" w:color="auto" w:fill="auto"/>
            <w:vAlign w:val="center"/>
          </w:tcPr>
          <w:p w14:paraId="3D01EEF4">
            <w:pPr>
              <w:ind w:firstLine="0" w:firstLineChars="0"/>
              <w:jc w:val="both"/>
              <w:rPr>
                <w:rFonts w:hint="default" w:ascii="Times New Roman" w:hAnsi="Times New Roman" w:eastAsia="宋体" w:cs="Times New Roman"/>
                <w:color w:val="auto"/>
                <w:sz w:val="24"/>
                <w:szCs w:val="24"/>
              </w:rPr>
            </w:pPr>
            <w:r>
              <w:rPr>
                <w:rStyle w:val="37"/>
                <w:rFonts w:hint="default" w:ascii="Times New Roman" w:hAnsi="Times New Roman" w:cs="Times New Roman"/>
                <w:color w:val="auto"/>
                <w:sz w:val="24"/>
                <w:szCs w:val="24"/>
                <w:lang w:bidi="ar"/>
              </w:rPr>
              <w:t>貉</w:t>
            </w:r>
          </w:p>
        </w:tc>
        <w:tc>
          <w:tcPr>
            <w:tcW w:w="3163" w:type="dxa"/>
            <w:shd w:val="clear" w:color="auto" w:fill="auto"/>
            <w:vAlign w:val="center"/>
          </w:tcPr>
          <w:p w14:paraId="33ACBEE3">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Nyctereutes procyonoides</w:t>
            </w:r>
          </w:p>
        </w:tc>
        <w:tc>
          <w:tcPr>
            <w:tcW w:w="864" w:type="dxa"/>
            <w:shd w:val="clear" w:color="auto" w:fill="auto"/>
            <w:vAlign w:val="center"/>
          </w:tcPr>
          <w:p w14:paraId="06B979BD">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二级</w:t>
            </w:r>
          </w:p>
        </w:tc>
        <w:tc>
          <w:tcPr>
            <w:tcW w:w="1610" w:type="dxa"/>
            <w:shd w:val="clear" w:color="auto" w:fill="auto"/>
            <w:vAlign w:val="center"/>
          </w:tcPr>
          <w:p w14:paraId="04ED991F">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近危（NT）</w:t>
            </w:r>
          </w:p>
        </w:tc>
        <w:tc>
          <w:tcPr>
            <w:tcW w:w="1323" w:type="dxa"/>
            <w:shd w:val="clear" w:color="auto" w:fill="auto"/>
            <w:vAlign w:val="center"/>
          </w:tcPr>
          <w:p w14:paraId="552CDD0A">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0566FF5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tblHeader/>
          <w:jc w:val="center"/>
        </w:trPr>
        <w:tc>
          <w:tcPr>
            <w:tcW w:w="1381" w:type="dxa"/>
            <w:shd w:val="clear" w:color="auto" w:fill="auto"/>
            <w:vAlign w:val="center"/>
          </w:tcPr>
          <w:p w14:paraId="4D00AF9F">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獐</w:t>
            </w:r>
          </w:p>
        </w:tc>
        <w:tc>
          <w:tcPr>
            <w:tcW w:w="3163" w:type="dxa"/>
            <w:shd w:val="clear" w:color="auto" w:fill="auto"/>
            <w:vAlign w:val="center"/>
          </w:tcPr>
          <w:p w14:paraId="33377B95">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lang w:bidi="ar"/>
              </w:rPr>
              <w:t>Hydropotes inermis</w:t>
            </w:r>
          </w:p>
        </w:tc>
        <w:tc>
          <w:tcPr>
            <w:tcW w:w="864" w:type="dxa"/>
            <w:shd w:val="clear" w:color="auto" w:fill="auto"/>
            <w:vAlign w:val="center"/>
          </w:tcPr>
          <w:p w14:paraId="64DB315D">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二级</w:t>
            </w:r>
          </w:p>
        </w:tc>
        <w:tc>
          <w:tcPr>
            <w:tcW w:w="1610" w:type="dxa"/>
            <w:shd w:val="clear" w:color="auto" w:fill="auto"/>
            <w:vAlign w:val="center"/>
          </w:tcPr>
          <w:p w14:paraId="5E01BC25">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易危（VU）</w:t>
            </w:r>
          </w:p>
        </w:tc>
        <w:tc>
          <w:tcPr>
            <w:tcW w:w="1323" w:type="dxa"/>
            <w:shd w:val="clear" w:color="auto" w:fill="auto"/>
            <w:vAlign w:val="center"/>
          </w:tcPr>
          <w:p w14:paraId="1508C394">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bl>
    <w:p w14:paraId="75DB5981">
      <w:pPr>
        <w:pStyle w:val="7"/>
        <w:spacing w:before="156" w:beforeLines="50"/>
        <w:ind w:firstLine="640"/>
        <w:jc w:val="both"/>
        <w:rPr>
          <w:rFonts w:hint="default" w:ascii="Times New Roman" w:hAnsi="Times New Roman" w:cs="Times New Roman"/>
          <w:b w:val="0"/>
          <w:bCs w:val="0"/>
          <w:color w:val="auto"/>
        </w:rPr>
      </w:pPr>
      <w:r>
        <w:rPr>
          <w:rFonts w:hint="default" w:ascii="Times New Roman" w:hAnsi="Times New Roman" w:cs="Times New Roman"/>
          <w:b w:val="0"/>
          <w:bCs w:val="0"/>
          <w:color w:val="auto"/>
        </w:rPr>
        <w:t>3.鸟类</w:t>
      </w:r>
    </w:p>
    <w:p w14:paraId="582E0E37">
      <w:pPr>
        <w:ind w:firstLine="640"/>
        <w:jc w:val="both"/>
        <w:rPr>
          <w:rFonts w:hint="default" w:ascii="Times New Roman" w:hAnsi="Times New Roman" w:cs="Times New Roman"/>
          <w:color w:val="auto"/>
        </w:rPr>
      </w:pPr>
      <w:r>
        <w:rPr>
          <w:rFonts w:hint="default" w:ascii="Times New Roman" w:hAnsi="Times New Roman" w:cs="Times New Roman"/>
          <w:color w:val="auto"/>
        </w:rPr>
        <w:t>武汉市鸟类优先保护物种共计24种，主要包括陆禽、游禽、涉禽、猛禽、鸣禽、攀禽等六类。</w:t>
      </w:r>
    </w:p>
    <w:p w14:paraId="64DA9938">
      <w:pPr>
        <w:ind w:firstLine="640"/>
        <w:jc w:val="both"/>
        <w:rPr>
          <w:rFonts w:hint="default" w:ascii="Times New Roman" w:hAnsi="Times New Roman" w:cs="Times New Roman"/>
          <w:color w:val="auto"/>
        </w:rPr>
      </w:pPr>
      <w:r>
        <w:rPr>
          <w:rFonts w:hint="default" w:ascii="Times New Roman" w:hAnsi="Times New Roman" w:cs="Times New Roman"/>
          <w:color w:val="auto"/>
        </w:rPr>
        <w:t>（1）陆禽类</w:t>
      </w:r>
    </w:p>
    <w:p w14:paraId="04A40F1C">
      <w:pPr>
        <w:ind w:firstLine="640"/>
        <w:jc w:val="both"/>
        <w:rPr>
          <w:rFonts w:hint="default" w:ascii="Times New Roman" w:hAnsi="Times New Roman" w:cs="Times New Roman"/>
          <w:color w:val="auto"/>
        </w:rPr>
      </w:pPr>
      <w:r>
        <w:rPr>
          <w:rFonts w:hint="default" w:ascii="Times New Roman" w:hAnsi="Times New Roman" w:cs="Times New Roman"/>
          <w:color w:val="auto"/>
        </w:rPr>
        <w:t>陆禽类优先保护物种为白冠长尾雉（</w:t>
      </w:r>
      <w:r>
        <w:rPr>
          <w:rFonts w:hint="default" w:ascii="Times New Roman" w:hAnsi="Times New Roman" w:cs="Times New Roman"/>
          <w:i/>
          <w:color w:val="auto"/>
        </w:rPr>
        <w:t>Syrmaticus reevesii</w:t>
      </w:r>
      <w:r>
        <w:rPr>
          <w:rFonts w:hint="default" w:ascii="Times New Roman" w:hAnsi="Times New Roman" w:cs="Times New Roman"/>
          <w:color w:val="auto"/>
        </w:rPr>
        <w:t>），是国家一级重点保护野生动物，在红色名录中被列为濒危物种；白冠长尾雉是武汉地区留鸟，主要分布在黄陂区和新洲区的中高海拔针阔混交林中。</w:t>
      </w:r>
    </w:p>
    <w:p w14:paraId="237789AA">
      <w:pPr>
        <w:ind w:firstLine="640"/>
        <w:jc w:val="both"/>
        <w:rPr>
          <w:rFonts w:hint="default" w:ascii="Times New Roman" w:hAnsi="Times New Roman" w:cs="Times New Roman"/>
          <w:color w:val="auto"/>
        </w:rPr>
      </w:pPr>
      <w:r>
        <w:rPr>
          <w:rFonts w:hint="default" w:ascii="Times New Roman" w:hAnsi="Times New Roman" w:cs="Times New Roman"/>
          <w:color w:val="auto"/>
        </w:rPr>
        <w:t>（2）游禽类</w:t>
      </w:r>
    </w:p>
    <w:p w14:paraId="2CCC6D14">
      <w:pPr>
        <w:ind w:firstLine="640"/>
        <w:jc w:val="both"/>
        <w:rPr>
          <w:rFonts w:hint="default" w:ascii="Times New Roman" w:hAnsi="Times New Roman" w:cs="Times New Roman"/>
          <w:color w:val="auto"/>
        </w:rPr>
      </w:pPr>
      <w:r>
        <w:rPr>
          <w:rFonts w:hint="default" w:ascii="Times New Roman" w:hAnsi="Times New Roman" w:cs="Times New Roman"/>
          <w:color w:val="auto"/>
        </w:rPr>
        <w:t>游禽类对湿地生态系统具有极其重要的指示作用，优先保护物种包含鸿雁（</w:t>
      </w:r>
      <w:r>
        <w:rPr>
          <w:rFonts w:hint="default" w:ascii="Times New Roman" w:hAnsi="Times New Roman" w:cs="Times New Roman"/>
          <w:i/>
          <w:iCs/>
          <w:color w:val="auto"/>
        </w:rPr>
        <w:t>Anser cygnoides</w:t>
      </w:r>
      <w:r>
        <w:rPr>
          <w:rFonts w:hint="default" w:ascii="Times New Roman" w:hAnsi="Times New Roman" w:cs="Times New Roman"/>
          <w:color w:val="auto"/>
        </w:rPr>
        <w:t>）、小白额雁（</w:t>
      </w:r>
      <w:r>
        <w:rPr>
          <w:rFonts w:hint="default" w:ascii="Times New Roman" w:hAnsi="Times New Roman" w:cs="Times New Roman"/>
          <w:i/>
          <w:iCs/>
          <w:color w:val="auto"/>
        </w:rPr>
        <w:t>Anser erythropus</w:t>
      </w:r>
      <w:r>
        <w:rPr>
          <w:rFonts w:hint="default" w:ascii="Times New Roman" w:hAnsi="Times New Roman" w:cs="Times New Roman"/>
          <w:color w:val="auto"/>
        </w:rPr>
        <w:t>）、青头潜鸭（</w:t>
      </w:r>
      <w:r>
        <w:rPr>
          <w:rFonts w:hint="default" w:ascii="Times New Roman" w:hAnsi="Times New Roman" w:cs="Times New Roman"/>
          <w:i/>
          <w:color w:val="auto"/>
        </w:rPr>
        <w:t>Aythya baeri</w:t>
      </w:r>
      <w:r>
        <w:rPr>
          <w:rFonts w:hint="default" w:ascii="Times New Roman" w:hAnsi="Times New Roman" w:cs="Times New Roman"/>
          <w:color w:val="auto"/>
        </w:rPr>
        <w:t>）、中华秋沙鸭（</w:t>
      </w:r>
      <w:r>
        <w:rPr>
          <w:rFonts w:hint="default" w:ascii="Times New Roman" w:hAnsi="Times New Roman" w:cs="Times New Roman"/>
          <w:i/>
          <w:color w:val="auto"/>
        </w:rPr>
        <w:t>Mergus squamatus</w:t>
      </w:r>
      <w:r>
        <w:rPr>
          <w:rFonts w:hint="default" w:ascii="Times New Roman" w:hAnsi="Times New Roman" w:cs="Times New Roman"/>
          <w:color w:val="auto"/>
        </w:rPr>
        <w:t>）、白头硬尾鸭（</w:t>
      </w:r>
      <w:r>
        <w:rPr>
          <w:rFonts w:hint="default" w:ascii="Times New Roman" w:hAnsi="Times New Roman" w:cs="Times New Roman"/>
          <w:i/>
          <w:color w:val="auto"/>
        </w:rPr>
        <w:t>Oxyura leucocephala</w:t>
      </w:r>
      <w:r>
        <w:rPr>
          <w:rFonts w:hint="default" w:ascii="Times New Roman" w:hAnsi="Times New Roman" w:cs="Times New Roman"/>
          <w:color w:val="auto"/>
        </w:rPr>
        <w:t>）和棉凫（</w:t>
      </w:r>
      <w:r>
        <w:rPr>
          <w:rFonts w:hint="default" w:ascii="Times New Roman" w:hAnsi="Times New Roman" w:cs="Times New Roman"/>
          <w:i/>
          <w:color w:val="auto"/>
        </w:rPr>
        <w:t>Nettapus coromandelianuss</w:t>
      </w:r>
      <w:r>
        <w:rPr>
          <w:rFonts w:hint="default" w:ascii="Times New Roman" w:hAnsi="Times New Roman" w:cs="Times New Roman"/>
          <w:color w:val="auto"/>
        </w:rPr>
        <w:t>）等6种，其中青头潜鸭、中华秋沙鸭、白头硬尾鸭均为国家一级重点保护野生动物，鸿雁、小白额雁和棉凫为国家二级重点保护野生动物，在红色名录中青头潜鸭和白头硬尾鸭被列为极危物种，中华秋沙鸭被列为濒危物种。武汉是青头潜鸭重要的繁殖地和越冬地，主要分布在江夏区（东湖高新区）、蔡甸区、汉南区和黄陂区湖泊或库塘湿地中；中华秋沙鸭是武汉地区的</w:t>
      </w:r>
      <w:bookmarkStart w:id="152" w:name="OLE_LINK125"/>
      <w:r>
        <w:rPr>
          <w:rFonts w:hint="default" w:ascii="Times New Roman" w:hAnsi="Times New Roman" w:cs="Times New Roman"/>
          <w:color w:val="auto"/>
        </w:rPr>
        <w:t>冬候鸟</w:t>
      </w:r>
      <w:bookmarkEnd w:id="152"/>
      <w:r>
        <w:rPr>
          <w:rFonts w:hint="default" w:ascii="Times New Roman" w:hAnsi="Times New Roman" w:cs="Times New Roman"/>
          <w:color w:val="auto"/>
        </w:rPr>
        <w:t>，迁徙和越冬时栖息于蔡甸区、洪山区、黄陂区和武昌区的河流、湖泊湿地中；白头硬尾鸭是武汉地区的冬候鸟，主要栖息于长江新区草湖等湿地中；棉凫是武汉地区重要的夏候鸟，主要栖息在水生植被丰富的湖泊和库塘湿地中，在武汉全市均有发现。</w:t>
      </w:r>
    </w:p>
    <w:p w14:paraId="505EFD81">
      <w:pPr>
        <w:ind w:firstLine="640"/>
        <w:jc w:val="both"/>
        <w:rPr>
          <w:rFonts w:hint="default" w:ascii="Times New Roman" w:hAnsi="Times New Roman" w:cs="Times New Roman"/>
          <w:color w:val="auto"/>
        </w:rPr>
      </w:pPr>
      <w:r>
        <w:rPr>
          <w:rFonts w:hint="default" w:ascii="Times New Roman" w:hAnsi="Times New Roman" w:cs="Times New Roman"/>
          <w:color w:val="auto"/>
        </w:rPr>
        <w:t>（3）涉禽类</w:t>
      </w:r>
    </w:p>
    <w:p w14:paraId="33963209">
      <w:pPr>
        <w:ind w:firstLine="640"/>
        <w:jc w:val="both"/>
        <w:rPr>
          <w:rFonts w:hint="default" w:ascii="Times New Roman" w:hAnsi="Times New Roman" w:cs="Times New Roman"/>
          <w:color w:val="auto"/>
        </w:rPr>
      </w:pPr>
      <w:r>
        <w:rPr>
          <w:rFonts w:hint="default" w:ascii="Times New Roman" w:hAnsi="Times New Roman" w:cs="Times New Roman"/>
          <w:color w:val="auto"/>
        </w:rPr>
        <w:t>涉禽类栖息在湿地浅水地带及周边，对湿地生态系统同样具有极其重要的指示作用，优先保护物种共包括7种。</w:t>
      </w:r>
    </w:p>
    <w:p w14:paraId="26E3D4F2">
      <w:pPr>
        <w:ind w:firstLine="640"/>
        <w:jc w:val="both"/>
        <w:rPr>
          <w:rFonts w:hint="default" w:ascii="Times New Roman" w:hAnsi="Times New Roman" w:cs="Times New Roman"/>
          <w:color w:val="auto"/>
        </w:rPr>
      </w:pPr>
      <w:r>
        <w:rPr>
          <w:rFonts w:hint="default" w:ascii="Times New Roman" w:hAnsi="Times New Roman" w:cs="Times New Roman"/>
          <w:color w:val="auto"/>
        </w:rPr>
        <w:t>优先保护鹤形目鸟类包括白鹤（</w:t>
      </w:r>
      <w:r>
        <w:rPr>
          <w:rFonts w:hint="default" w:ascii="Times New Roman" w:hAnsi="Times New Roman" w:cs="Times New Roman"/>
          <w:i/>
          <w:color w:val="auto"/>
        </w:rPr>
        <w:t>Leucogeranus leucogeranus</w:t>
      </w:r>
      <w:r>
        <w:rPr>
          <w:rFonts w:hint="default" w:ascii="Times New Roman" w:hAnsi="Times New Roman" w:cs="Times New Roman"/>
          <w:color w:val="auto"/>
        </w:rPr>
        <w:t>）和水雉（</w:t>
      </w:r>
      <w:r>
        <w:rPr>
          <w:rFonts w:hint="default" w:ascii="Times New Roman" w:hAnsi="Times New Roman" w:cs="Times New Roman"/>
          <w:i/>
          <w:color w:val="auto"/>
        </w:rPr>
        <w:t>Hydrophasianus chirurgus</w:t>
      </w:r>
      <w:r>
        <w:rPr>
          <w:rFonts w:hint="default" w:ascii="Times New Roman" w:hAnsi="Times New Roman" w:cs="Times New Roman"/>
          <w:color w:val="auto"/>
        </w:rPr>
        <w:t>）2种，其中白鹤为国家一级重点保护野生动物，在红色名录</w:t>
      </w:r>
      <w:r>
        <w:rPr>
          <w:rFonts w:hint="default" w:ascii="Times New Roman" w:hAnsi="Times New Roman" w:cs="Times New Roman"/>
          <w:color w:val="auto"/>
          <w:lang w:eastAsia="zh-CN"/>
        </w:rPr>
        <w:t>中</w:t>
      </w:r>
      <w:r>
        <w:rPr>
          <w:rFonts w:hint="default" w:ascii="Times New Roman" w:hAnsi="Times New Roman" w:cs="Times New Roman"/>
          <w:color w:val="auto"/>
        </w:rPr>
        <w:t>被列为极危物种。水雉为国家二级重点保护野生动物，在红色名录中被列为近危物种。白鹤是武汉地区的冬候鸟，栖息在开阔的湖泊湿地，在上涉湖、沉湖、府河柏泉段越冬，有时也会在草本沼泽中活动。水雉在武汉为夏候鸟，广泛分布在武汉全域的湖泊、池塘和沼泽地带。</w:t>
      </w:r>
    </w:p>
    <w:p w14:paraId="3EFEBCBF">
      <w:pPr>
        <w:ind w:firstLine="640"/>
        <w:jc w:val="both"/>
        <w:rPr>
          <w:rFonts w:hint="default" w:ascii="Times New Roman" w:hAnsi="Times New Roman" w:cs="Times New Roman"/>
          <w:color w:val="auto"/>
        </w:rPr>
      </w:pPr>
      <w:r>
        <w:rPr>
          <w:rFonts w:hint="default" w:ascii="Times New Roman" w:hAnsi="Times New Roman" w:eastAsia="仿宋" w:cs="Times New Roman"/>
          <w:color w:val="auto"/>
        </w:rPr>
        <w:t>优先保护鸻</w:t>
      </w:r>
      <w:r>
        <w:rPr>
          <w:rFonts w:hint="default" w:ascii="Times New Roman" w:hAnsi="Times New Roman" w:cs="Times New Roman"/>
          <w:color w:val="auto"/>
        </w:rPr>
        <w:t>形目鸟类包括大杓鹬（</w:t>
      </w:r>
      <w:r>
        <w:rPr>
          <w:rFonts w:hint="default" w:ascii="Times New Roman" w:hAnsi="Times New Roman" w:cs="Times New Roman"/>
          <w:i/>
          <w:color w:val="auto"/>
        </w:rPr>
        <w:t>Numenius madagascariensis</w:t>
      </w:r>
      <w:r>
        <w:rPr>
          <w:rFonts w:hint="default" w:ascii="Times New Roman" w:hAnsi="Times New Roman" w:cs="Times New Roman"/>
          <w:color w:val="auto"/>
        </w:rPr>
        <w:t>）1种，为国家二级重点保护野生动物，在红色名录中被列为易危物种，在府河湿地等有少量观察记录。</w:t>
      </w:r>
    </w:p>
    <w:p w14:paraId="7343A33D">
      <w:pPr>
        <w:pStyle w:val="3"/>
        <w:ind w:firstLine="640"/>
        <w:rPr>
          <w:rFonts w:hint="default" w:ascii="Times New Roman" w:hAnsi="Times New Roman" w:cs="Times New Roman"/>
          <w:color w:val="auto"/>
        </w:rPr>
      </w:pPr>
      <w:r>
        <w:rPr>
          <w:rFonts w:hint="default" w:ascii="Times New Roman" w:hAnsi="Times New Roman" w:cs="Times New Roman"/>
          <w:color w:val="auto"/>
        </w:rPr>
        <w:t>优先保护鹳形目鸟类包括东方白鹳（</w:t>
      </w:r>
      <w:r>
        <w:rPr>
          <w:rStyle w:val="57"/>
          <w:rFonts w:hint="default" w:ascii="Times New Roman" w:hAnsi="Times New Roman" w:eastAsia="宋体" w:cs="Times New Roman"/>
          <w:color w:val="auto"/>
          <w:sz w:val="32"/>
          <w:szCs w:val="32"/>
          <w:lang w:bidi="ar"/>
        </w:rPr>
        <w:t>Ciconia boyciana</w:t>
      </w:r>
      <w:r>
        <w:rPr>
          <w:rFonts w:hint="default" w:ascii="Times New Roman" w:hAnsi="Times New Roman" w:cs="Times New Roman"/>
          <w:color w:val="auto"/>
        </w:rPr>
        <w:t>）和黑鹳（</w:t>
      </w:r>
      <w:r>
        <w:rPr>
          <w:rStyle w:val="57"/>
          <w:rFonts w:hint="default" w:ascii="Times New Roman" w:hAnsi="Times New Roman" w:eastAsia="宋体" w:cs="Times New Roman"/>
          <w:color w:val="auto"/>
          <w:sz w:val="32"/>
          <w:szCs w:val="32"/>
          <w:lang w:bidi="ar"/>
        </w:rPr>
        <w:t>Ciconia nigra</w:t>
      </w:r>
      <w:r>
        <w:rPr>
          <w:rFonts w:hint="default" w:ascii="Times New Roman" w:hAnsi="Times New Roman" w:cs="Times New Roman"/>
          <w:color w:val="auto"/>
        </w:rPr>
        <w:t>）2种，均为国家一级重点保护野生动物，其中东方白鹳在红色名录中被列为濒危物种。两种鹳类是武汉地区的冬候鸟，栖息在湖泊湿地周边，其中黑鹳主要在天兴洲进行越冬，东方白鹳在武汉各区均有记录。</w:t>
      </w:r>
    </w:p>
    <w:p w14:paraId="30978E7B">
      <w:pPr>
        <w:ind w:firstLine="640"/>
        <w:jc w:val="both"/>
        <w:rPr>
          <w:rFonts w:hint="default" w:ascii="Times New Roman" w:hAnsi="Times New Roman" w:cs="Times New Roman"/>
          <w:color w:val="auto"/>
        </w:rPr>
      </w:pPr>
      <w:r>
        <w:rPr>
          <w:rFonts w:hint="default" w:ascii="Times New Roman" w:hAnsi="Times New Roman" w:cs="Times New Roman"/>
          <w:color w:val="auto"/>
        </w:rPr>
        <w:t>优先保护鹈形目鸟类包含海南</w:t>
      </w:r>
      <w:r>
        <w:rPr>
          <w:rFonts w:hint="default" w:ascii="Times New Roman" w:hAnsi="Times New Roman" w:eastAsia="仿宋" w:cs="Times New Roman"/>
          <w:color w:val="auto"/>
        </w:rPr>
        <w:t>鳽</w:t>
      </w:r>
      <w:r>
        <w:rPr>
          <w:rFonts w:hint="default" w:ascii="Times New Roman" w:hAnsi="Times New Roman" w:cs="Times New Roman"/>
          <w:color w:val="auto"/>
        </w:rPr>
        <w:t>（</w:t>
      </w:r>
      <w:r>
        <w:rPr>
          <w:rFonts w:hint="default" w:ascii="Times New Roman" w:hAnsi="Times New Roman" w:cs="Times New Roman"/>
          <w:i/>
          <w:color w:val="auto"/>
        </w:rPr>
        <w:t>Gorsachius magnificus</w:t>
      </w:r>
      <w:r>
        <w:rPr>
          <w:rFonts w:hint="default" w:ascii="Times New Roman" w:hAnsi="Times New Roman" w:cs="Times New Roman"/>
          <w:color w:val="auto"/>
        </w:rPr>
        <w:t>）和黑脸琵鹭（</w:t>
      </w:r>
      <w:r>
        <w:rPr>
          <w:rFonts w:hint="default" w:ascii="Times New Roman" w:hAnsi="Times New Roman" w:cs="Times New Roman"/>
          <w:i/>
          <w:iCs/>
          <w:color w:val="auto"/>
        </w:rPr>
        <w:t>Platalea minor</w:t>
      </w:r>
      <w:r>
        <w:rPr>
          <w:rFonts w:hint="default" w:ascii="Times New Roman" w:hAnsi="Times New Roman" w:cs="Times New Roman"/>
          <w:color w:val="auto"/>
        </w:rPr>
        <w:t>）2种，均为国家一级重点保护野生动物，在红色名录中均被列为濒危物种。海南</w:t>
      </w:r>
      <w:r>
        <w:rPr>
          <w:rFonts w:hint="default" w:ascii="Times New Roman" w:hAnsi="Times New Roman" w:eastAsia="仿宋" w:cs="Times New Roman"/>
          <w:color w:val="auto"/>
        </w:rPr>
        <w:t>鳽</w:t>
      </w:r>
      <w:r>
        <w:rPr>
          <w:rFonts w:hint="default" w:ascii="Times New Roman" w:hAnsi="Times New Roman" w:cs="Times New Roman"/>
          <w:color w:val="auto"/>
        </w:rPr>
        <w:t>是夜行性鹭科鸟类，被誉为“最神秘的鸟”之一，白天在树林中停歇，夜间会在山区溪流、水库附近觅食，主要分布在黄陂区的木兰山中。黑脸琵鹭是武汉地区罕见冬候鸟，冬季常与其他涉禽混群栖息于开阔湿地浅水地带。</w:t>
      </w:r>
    </w:p>
    <w:p w14:paraId="34CD299D">
      <w:pPr>
        <w:pStyle w:val="33"/>
        <w:ind w:firstLine="640" w:firstLineChars="200"/>
        <w:rPr>
          <w:rFonts w:hint="default" w:ascii="Times New Roman" w:hAnsi="Times New Roman" w:cs="Times New Roman"/>
          <w:color w:val="auto"/>
        </w:rPr>
      </w:pPr>
      <w:r>
        <w:rPr>
          <w:rFonts w:hint="default" w:ascii="Times New Roman" w:hAnsi="Times New Roman" w:cs="Times New Roman"/>
          <w:color w:val="auto"/>
        </w:rPr>
        <w:t>（4）猛禽类</w:t>
      </w:r>
    </w:p>
    <w:p w14:paraId="4CEBBB23">
      <w:pPr>
        <w:ind w:firstLine="640"/>
        <w:jc w:val="both"/>
        <w:rPr>
          <w:rFonts w:hint="default" w:ascii="Times New Roman" w:hAnsi="Times New Roman" w:cs="Times New Roman"/>
          <w:color w:val="auto"/>
        </w:rPr>
      </w:pPr>
      <w:r>
        <w:rPr>
          <w:rFonts w:hint="default" w:ascii="Times New Roman" w:hAnsi="Times New Roman" w:cs="Times New Roman"/>
          <w:color w:val="auto"/>
        </w:rPr>
        <w:t>猛禽对保持生态平衡、表征生态环境状况具有非常重要的作用。优先保护物种包括乌雕（</w:t>
      </w:r>
      <w:r>
        <w:rPr>
          <w:rFonts w:hint="default" w:ascii="Times New Roman" w:hAnsi="Times New Roman" w:cs="Times New Roman"/>
          <w:i/>
          <w:color w:val="auto"/>
        </w:rPr>
        <w:t>Clanga clanga</w:t>
      </w:r>
      <w:r>
        <w:rPr>
          <w:rFonts w:hint="default" w:ascii="Times New Roman" w:hAnsi="Times New Roman" w:cs="Times New Roman"/>
          <w:color w:val="auto"/>
        </w:rPr>
        <w:t>）、白肩雕（</w:t>
      </w:r>
      <w:r>
        <w:rPr>
          <w:rFonts w:hint="default" w:ascii="Times New Roman" w:hAnsi="Times New Roman" w:cs="Times New Roman"/>
          <w:i/>
          <w:iCs/>
          <w:color w:val="auto"/>
        </w:rPr>
        <w:t>Aquila heliaca</w:t>
      </w:r>
      <w:r>
        <w:rPr>
          <w:rFonts w:hint="default" w:ascii="Times New Roman" w:hAnsi="Times New Roman" w:cs="Times New Roman"/>
          <w:color w:val="auto"/>
        </w:rPr>
        <w:t>）、白腹隼雕（</w:t>
      </w:r>
      <w:r>
        <w:rPr>
          <w:rFonts w:hint="default" w:ascii="Times New Roman" w:hAnsi="Times New Roman" w:cs="Times New Roman"/>
          <w:i/>
          <w:color w:val="auto"/>
        </w:rPr>
        <w:t>Aquila fasciata</w:t>
      </w:r>
      <w:r>
        <w:rPr>
          <w:rFonts w:hint="default" w:ascii="Times New Roman" w:hAnsi="Times New Roman" w:cs="Times New Roman"/>
          <w:color w:val="auto"/>
        </w:rPr>
        <w:t>）和白尾海雕（</w:t>
      </w:r>
      <w:r>
        <w:rPr>
          <w:rFonts w:hint="default" w:ascii="Times New Roman" w:hAnsi="Times New Roman" w:cs="Times New Roman"/>
          <w:i/>
          <w:iCs/>
          <w:color w:val="auto"/>
        </w:rPr>
        <w:t>Haliaeetus albicilla</w:t>
      </w:r>
      <w:r>
        <w:rPr>
          <w:rFonts w:hint="default" w:ascii="Times New Roman" w:hAnsi="Times New Roman" w:cs="Times New Roman"/>
          <w:color w:val="auto"/>
        </w:rPr>
        <w:t>）等4种。其中乌雕、白肩雕和白尾海雕为国家一级重点保护野生动物，白腹隼雕为国家二级重点保护野生动物。乌雕和白肩雕在红色名录中均被列为濒危物种，其余为易危物种。乌雕、白肩雕和白尾海雕是武汉地区的冬候鸟和过境鸟，主要分布在汉阳区、蔡甸区、黄陂区的稀疏林和湖泊湿地；而白腹隼雕为武汉地区的留鸟，主要分布在江夏区、新洲区、汉阳区、蔡甸区、黄陂区、武昌区、洪山区和东西湖区的常绿阔叶林，冬季也会在湖泊湿地周边觅食。猛禽面临的主要威胁是栖息地和迁徙中途停歇地的减少，以及一些剧毒鼠药、农药的大量使用。</w:t>
      </w:r>
    </w:p>
    <w:p w14:paraId="447C605F">
      <w:pPr>
        <w:pStyle w:val="33"/>
        <w:ind w:firstLine="640" w:firstLineChars="200"/>
        <w:rPr>
          <w:rFonts w:hint="default" w:ascii="Times New Roman" w:hAnsi="Times New Roman" w:cs="Times New Roman"/>
          <w:color w:val="auto"/>
        </w:rPr>
      </w:pPr>
      <w:r>
        <w:rPr>
          <w:rFonts w:hint="default" w:ascii="Times New Roman" w:hAnsi="Times New Roman" w:cs="Times New Roman"/>
          <w:color w:val="auto"/>
        </w:rPr>
        <w:t>（5）鸣禽类</w:t>
      </w:r>
    </w:p>
    <w:p w14:paraId="7E3481E8">
      <w:pPr>
        <w:ind w:firstLine="640"/>
        <w:jc w:val="both"/>
        <w:rPr>
          <w:rFonts w:hint="default" w:ascii="Times New Roman" w:hAnsi="Times New Roman" w:cs="Times New Roman"/>
          <w:color w:val="auto"/>
        </w:rPr>
      </w:pPr>
      <w:r>
        <w:rPr>
          <w:rFonts w:hint="default" w:ascii="Times New Roman" w:hAnsi="Times New Roman" w:cs="Times New Roman"/>
          <w:color w:val="auto"/>
        </w:rPr>
        <w:t>鸣禽类优先保护物种包括仙八色鸫（</w:t>
      </w:r>
      <w:r>
        <w:rPr>
          <w:rFonts w:hint="default" w:ascii="Times New Roman" w:hAnsi="Times New Roman" w:cs="Times New Roman"/>
          <w:i/>
          <w:color w:val="auto"/>
        </w:rPr>
        <w:t>Pitta nympha</w:t>
      </w:r>
      <w:r>
        <w:rPr>
          <w:rFonts w:hint="default" w:ascii="Times New Roman" w:hAnsi="Times New Roman" w:cs="Times New Roman"/>
          <w:color w:val="auto"/>
        </w:rPr>
        <w:t>）、黄胸</w:t>
      </w:r>
      <w:r>
        <w:rPr>
          <w:rFonts w:hint="default" w:ascii="Times New Roman" w:hAnsi="Times New Roman" w:eastAsia="仿宋" w:cs="Times New Roman"/>
          <w:color w:val="auto"/>
        </w:rPr>
        <w:t>鹀</w:t>
      </w:r>
      <w:r>
        <w:rPr>
          <w:rFonts w:hint="default" w:ascii="Times New Roman" w:hAnsi="Times New Roman" w:cs="Times New Roman"/>
          <w:color w:val="auto"/>
        </w:rPr>
        <w:t>（</w:t>
      </w:r>
      <w:r>
        <w:rPr>
          <w:rFonts w:hint="default" w:ascii="Times New Roman" w:hAnsi="Times New Roman" w:cs="Times New Roman"/>
          <w:i/>
          <w:color w:val="auto"/>
        </w:rPr>
        <w:t>Emberiza aureola</w:t>
      </w:r>
      <w:r>
        <w:rPr>
          <w:rFonts w:hint="default" w:ascii="Times New Roman" w:hAnsi="Times New Roman" w:cs="Times New Roman"/>
          <w:color w:val="auto"/>
        </w:rPr>
        <w:t>）、画眉（</w:t>
      </w:r>
      <w:r>
        <w:rPr>
          <w:rFonts w:hint="default" w:ascii="Times New Roman" w:hAnsi="Times New Roman" w:cs="Times New Roman"/>
          <w:i/>
          <w:color w:val="auto"/>
        </w:rPr>
        <w:t>Garrulax canorus</w:t>
      </w:r>
      <w:r>
        <w:rPr>
          <w:rFonts w:hint="default" w:ascii="Times New Roman" w:hAnsi="Times New Roman" w:cs="Times New Roman"/>
          <w:color w:val="auto"/>
        </w:rPr>
        <w:t>）和蓝喉歌鸲（</w:t>
      </w:r>
      <w:r>
        <w:rPr>
          <w:rFonts w:hint="default" w:ascii="Times New Roman" w:hAnsi="Times New Roman" w:cs="Times New Roman"/>
          <w:i/>
          <w:color w:val="auto"/>
        </w:rPr>
        <w:t>Luscinia svecica</w:t>
      </w:r>
      <w:r>
        <w:rPr>
          <w:rFonts w:hint="default" w:ascii="Times New Roman" w:hAnsi="Times New Roman" w:cs="Times New Roman"/>
          <w:color w:val="auto"/>
        </w:rPr>
        <w:t>）4种。其中黄胸</w:t>
      </w:r>
      <w:r>
        <w:rPr>
          <w:rFonts w:hint="default" w:ascii="Times New Roman" w:hAnsi="Times New Roman" w:eastAsia="仿宋" w:cs="Times New Roman"/>
          <w:color w:val="auto"/>
        </w:rPr>
        <w:t>鹀</w:t>
      </w:r>
      <w:r>
        <w:rPr>
          <w:rFonts w:hint="default" w:ascii="Times New Roman" w:hAnsi="Times New Roman" w:cs="Times New Roman"/>
          <w:color w:val="auto"/>
        </w:rPr>
        <w:t>为国家一级重点保护野生动物，在红色名录中被列为极危物种，是武汉地区的过境鸟，迁徙季主要栖息在农田和草丛之中，武汉全区均有分布。仙八色鸫为国家二级重点保护野生动物，在红色名录中被列为易危物种。仙八色鸫是武汉地区的夏候鸟（旅鸟），栖息在中低海拔的常绿阔叶林中，分布于江岸区、</w:t>
      </w:r>
      <w:bookmarkStart w:id="153" w:name="OLE_LINK76"/>
      <w:bookmarkStart w:id="154" w:name="OLE_LINK78"/>
      <w:r>
        <w:rPr>
          <w:rFonts w:hint="default" w:ascii="Times New Roman" w:hAnsi="Times New Roman" w:cs="Times New Roman"/>
          <w:color w:val="auto"/>
        </w:rPr>
        <w:t>江汉区</w:t>
      </w:r>
      <w:bookmarkEnd w:id="153"/>
      <w:bookmarkEnd w:id="154"/>
      <w:r>
        <w:rPr>
          <w:rFonts w:hint="default" w:ascii="Times New Roman" w:hAnsi="Times New Roman" w:cs="Times New Roman"/>
          <w:color w:val="auto"/>
        </w:rPr>
        <w:t>和洪山区。画眉为国家二级重点保护野生动物，是武汉地区的留鸟，主要分布于江汉区，武昌区和洪山区。蓝喉歌鸲栖息于灌丛或芦苇丛中，主要分布于东西湖区和洪山区，武昌区也有少量分布。</w:t>
      </w:r>
    </w:p>
    <w:p w14:paraId="6DCC0CBA">
      <w:pPr>
        <w:ind w:firstLine="640"/>
        <w:jc w:val="both"/>
        <w:rPr>
          <w:rFonts w:hint="default" w:ascii="Times New Roman" w:hAnsi="Times New Roman" w:cs="Times New Roman"/>
          <w:color w:val="auto"/>
        </w:rPr>
      </w:pPr>
      <w:r>
        <w:rPr>
          <w:rFonts w:hint="default" w:ascii="Times New Roman" w:hAnsi="Times New Roman" w:cs="Times New Roman"/>
          <w:color w:val="auto"/>
        </w:rPr>
        <w:t>森林类型自然保护地和部分湿地类型自然保护地的建设，对鸣禽的保护发挥了重要作用。目前，鸣禽的主要威胁来自于人为活动引起的栖息地破坏，以及非法偷猎盗捕等。</w:t>
      </w:r>
    </w:p>
    <w:p w14:paraId="7268C501">
      <w:pPr>
        <w:pStyle w:val="33"/>
        <w:ind w:firstLine="640" w:firstLineChars="200"/>
        <w:rPr>
          <w:rFonts w:hint="default" w:ascii="Times New Roman" w:hAnsi="Times New Roman" w:cs="Times New Roman"/>
          <w:color w:val="auto"/>
        </w:rPr>
      </w:pPr>
      <w:r>
        <w:rPr>
          <w:rFonts w:hint="default" w:ascii="Times New Roman" w:hAnsi="Times New Roman" w:cs="Times New Roman"/>
          <w:color w:val="auto"/>
        </w:rPr>
        <w:t>（6）攀禽类</w:t>
      </w:r>
    </w:p>
    <w:p w14:paraId="028F8C3C">
      <w:pPr>
        <w:pStyle w:val="3"/>
        <w:ind w:firstLine="640"/>
        <w:rPr>
          <w:rFonts w:hint="default" w:ascii="Times New Roman" w:hAnsi="Times New Roman" w:cs="Times New Roman"/>
          <w:color w:val="auto"/>
        </w:rPr>
      </w:pPr>
      <w:r>
        <w:rPr>
          <w:rFonts w:hint="default" w:ascii="Times New Roman" w:hAnsi="Times New Roman" w:cs="Times New Roman"/>
          <w:color w:val="auto"/>
        </w:rPr>
        <w:t>攀禽类优先保护物种包括蓝喉蜂虎（</w:t>
      </w:r>
      <w:r>
        <w:rPr>
          <w:rFonts w:hint="default" w:ascii="Times New Roman" w:hAnsi="Times New Roman" w:cs="Times New Roman"/>
          <w:i/>
          <w:color w:val="auto"/>
        </w:rPr>
        <w:t>Merops viridis</w:t>
      </w:r>
      <w:r>
        <w:rPr>
          <w:rFonts w:hint="default" w:ascii="Times New Roman" w:hAnsi="Times New Roman" w:cs="Times New Roman"/>
          <w:color w:val="auto"/>
        </w:rPr>
        <w:t>）和白胸翡翠（</w:t>
      </w:r>
      <w:r>
        <w:rPr>
          <w:rFonts w:hint="default" w:ascii="Times New Roman" w:hAnsi="Times New Roman" w:cs="Times New Roman"/>
          <w:i/>
          <w:color w:val="auto"/>
        </w:rPr>
        <w:t>Halcyon smyrnensis</w:t>
      </w:r>
      <w:r>
        <w:rPr>
          <w:rFonts w:hint="default" w:ascii="Times New Roman" w:hAnsi="Times New Roman" w:cs="Times New Roman"/>
          <w:color w:val="auto"/>
        </w:rPr>
        <w:t>）2种，二者均为国家二级重点保护野生动物。其中，蓝喉蜂虎繁殖季在武汉沙河有稳定观测记录，迁徙季零星分布于八分山、木兰山等；白胸翡翠在沙河、沉湖、道观河水库、潴洋海湿地、涨渡湖、藏龙岛湿地等多处均有分布。两种鸟类的主要威胁因素为人类建设活动引起的栖息地丧失，以及非法偷猎盗捕等。</w:t>
      </w:r>
    </w:p>
    <w:p w14:paraId="145BA1EB">
      <w:pPr>
        <w:spacing w:before="156" w:beforeLines="50"/>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表4-3 鸟类优先保护物种名录</w:t>
      </w:r>
    </w:p>
    <w:tbl>
      <w:tblPr>
        <w:tblStyle w:val="27"/>
        <w:tblW w:w="8345" w:type="dxa"/>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57" w:type="dxa"/>
          <w:bottom w:w="0" w:type="dxa"/>
          <w:right w:w="57" w:type="dxa"/>
        </w:tblCellMar>
      </w:tblPr>
      <w:tblGrid>
        <w:gridCol w:w="1448"/>
        <w:gridCol w:w="3014"/>
        <w:gridCol w:w="978"/>
        <w:gridCol w:w="1580"/>
        <w:gridCol w:w="1325"/>
      </w:tblGrid>
      <w:tr w14:paraId="416D423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tblHeader/>
          <w:jc w:val="center"/>
        </w:trPr>
        <w:tc>
          <w:tcPr>
            <w:tcW w:w="1448" w:type="dxa"/>
            <w:tcBorders>
              <w:top w:val="single" w:color="auto" w:sz="8" w:space="0"/>
              <w:bottom w:val="single" w:color="auto" w:sz="8" w:space="0"/>
            </w:tcBorders>
            <w:shd w:val="clear" w:color="auto" w:fill="auto"/>
            <w:vAlign w:val="center"/>
          </w:tcPr>
          <w:p w14:paraId="395B24E5">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物种中文名</w:t>
            </w:r>
          </w:p>
        </w:tc>
        <w:tc>
          <w:tcPr>
            <w:tcW w:w="3014" w:type="dxa"/>
            <w:tcBorders>
              <w:top w:val="single" w:color="auto" w:sz="8" w:space="0"/>
              <w:bottom w:val="single" w:color="auto" w:sz="8" w:space="0"/>
            </w:tcBorders>
            <w:shd w:val="clear" w:color="auto" w:fill="auto"/>
            <w:vAlign w:val="center"/>
          </w:tcPr>
          <w:p w14:paraId="49E935A6">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物种学名</w:t>
            </w:r>
          </w:p>
        </w:tc>
        <w:tc>
          <w:tcPr>
            <w:tcW w:w="978" w:type="dxa"/>
            <w:tcBorders>
              <w:top w:val="single" w:color="auto" w:sz="8" w:space="0"/>
              <w:bottom w:val="single" w:color="auto" w:sz="8" w:space="0"/>
            </w:tcBorders>
            <w:shd w:val="clear" w:color="auto" w:fill="auto"/>
            <w:vAlign w:val="center"/>
          </w:tcPr>
          <w:p w14:paraId="578159BE">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保护</w:t>
            </w:r>
          </w:p>
          <w:p w14:paraId="115347CB">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等级</w:t>
            </w:r>
          </w:p>
        </w:tc>
        <w:tc>
          <w:tcPr>
            <w:tcW w:w="1580" w:type="dxa"/>
            <w:tcBorders>
              <w:top w:val="single" w:color="auto" w:sz="8" w:space="0"/>
              <w:bottom w:val="single" w:color="auto" w:sz="8" w:space="0"/>
            </w:tcBorders>
            <w:shd w:val="clear" w:color="auto" w:fill="auto"/>
            <w:vAlign w:val="center"/>
          </w:tcPr>
          <w:p w14:paraId="65D9F0E2">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濒危等级</w:t>
            </w:r>
          </w:p>
        </w:tc>
        <w:tc>
          <w:tcPr>
            <w:tcW w:w="1325" w:type="dxa"/>
            <w:tcBorders>
              <w:top w:val="single" w:color="auto" w:sz="8" w:space="0"/>
              <w:bottom w:val="single" w:color="auto" w:sz="8" w:space="0"/>
            </w:tcBorders>
            <w:shd w:val="clear" w:color="auto" w:fill="auto"/>
            <w:vAlign w:val="center"/>
          </w:tcPr>
          <w:p w14:paraId="35CED7B9">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是否中国</w:t>
            </w:r>
          </w:p>
          <w:p w14:paraId="52FE618A">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特有种</w:t>
            </w:r>
          </w:p>
        </w:tc>
      </w:tr>
      <w:tr w14:paraId="612C15A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tcBorders>
              <w:top w:val="single" w:color="auto" w:sz="8" w:space="0"/>
              <w:bottom w:val="nil"/>
            </w:tcBorders>
            <w:shd w:val="clear" w:color="auto" w:fill="auto"/>
            <w:vAlign w:val="center"/>
          </w:tcPr>
          <w:p w14:paraId="3C5094F8">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白冠长尾雉</w:t>
            </w:r>
          </w:p>
        </w:tc>
        <w:tc>
          <w:tcPr>
            <w:tcW w:w="3014" w:type="dxa"/>
            <w:tcBorders>
              <w:top w:val="single" w:color="auto" w:sz="8" w:space="0"/>
              <w:bottom w:val="nil"/>
            </w:tcBorders>
            <w:shd w:val="clear" w:color="auto" w:fill="auto"/>
            <w:vAlign w:val="center"/>
          </w:tcPr>
          <w:p w14:paraId="61901EE9">
            <w:pPr>
              <w:ind w:firstLine="0" w:firstLineChars="0"/>
              <w:jc w:val="both"/>
              <w:rPr>
                <w:rFonts w:hint="default" w:ascii="Times New Roman" w:hAnsi="Times New Roman" w:eastAsia="宋体" w:cs="Times New Roman"/>
                <w:color w:val="auto"/>
                <w:sz w:val="24"/>
                <w:szCs w:val="24"/>
              </w:rPr>
            </w:pPr>
            <w:r>
              <w:rPr>
                <w:rStyle w:val="57"/>
                <w:rFonts w:hint="default" w:ascii="Times New Roman" w:hAnsi="Times New Roman" w:eastAsia="宋体" w:cs="Times New Roman"/>
                <w:color w:val="auto"/>
                <w:sz w:val="24"/>
                <w:szCs w:val="24"/>
                <w:lang w:bidi="ar"/>
              </w:rPr>
              <w:t>Syrmaticus reevesii</w:t>
            </w:r>
          </w:p>
        </w:tc>
        <w:tc>
          <w:tcPr>
            <w:tcW w:w="978" w:type="dxa"/>
            <w:tcBorders>
              <w:top w:val="single" w:color="auto" w:sz="8" w:space="0"/>
              <w:bottom w:val="nil"/>
            </w:tcBorders>
            <w:shd w:val="clear" w:color="auto" w:fill="auto"/>
            <w:vAlign w:val="center"/>
          </w:tcPr>
          <w:p w14:paraId="0E67136D">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一级</w:t>
            </w:r>
          </w:p>
        </w:tc>
        <w:tc>
          <w:tcPr>
            <w:tcW w:w="1580" w:type="dxa"/>
            <w:tcBorders>
              <w:top w:val="single" w:color="auto" w:sz="8" w:space="0"/>
              <w:bottom w:val="nil"/>
            </w:tcBorders>
            <w:shd w:val="clear" w:color="auto" w:fill="auto"/>
            <w:vAlign w:val="center"/>
          </w:tcPr>
          <w:p w14:paraId="29F16977">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濒危（EN）</w:t>
            </w:r>
          </w:p>
        </w:tc>
        <w:tc>
          <w:tcPr>
            <w:tcW w:w="1325" w:type="dxa"/>
            <w:tcBorders>
              <w:top w:val="single" w:color="auto" w:sz="8" w:space="0"/>
              <w:bottom w:val="nil"/>
            </w:tcBorders>
            <w:shd w:val="clear" w:color="auto" w:fill="auto"/>
            <w:vAlign w:val="center"/>
          </w:tcPr>
          <w:p w14:paraId="1432281B">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是</w:t>
            </w:r>
          </w:p>
        </w:tc>
      </w:tr>
      <w:tr w14:paraId="7A0ACE6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tcBorders>
              <w:top w:val="nil"/>
            </w:tcBorders>
            <w:shd w:val="clear" w:color="auto" w:fill="auto"/>
            <w:vAlign w:val="center"/>
          </w:tcPr>
          <w:p w14:paraId="5EEC015C">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青头潜鸭</w:t>
            </w:r>
          </w:p>
        </w:tc>
        <w:tc>
          <w:tcPr>
            <w:tcW w:w="3014" w:type="dxa"/>
            <w:tcBorders>
              <w:top w:val="nil"/>
            </w:tcBorders>
            <w:shd w:val="clear" w:color="auto" w:fill="auto"/>
            <w:vAlign w:val="center"/>
          </w:tcPr>
          <w:p w14:paraId="6DAC2166">
            <w:pPr>
              <w:ind w:firstLine="0" w:firstLineChars="0"/>
              <w:jc w:val="both"/>
              <w:rPr>
                <w:rFonts w:hint="default" w:ascii="Times New Roman" w:hAnsi="Times New Roman" w:eastAsia="宋体" w:cs="Times New Roman"/>
                <w:color w:val="auto"/>
                <w:sz w:val="24"/>
                <w:szCs w:val="24"/>
              </w:rPr>
            </w:pPr>
            <w:r>
              <w:rPr>
                <w:rStyle w:val="57"/>
                <w:rFonts w:hint="default" w:ascii="Times New Roman" w:hAnsi="Times New Roman" w:eastAsia="宋体" w:cs="Times New Roman"/>
                <w:color w:val="auto"/>
                <w:sz w:val="24"/>
                <w:szCs w:val="24"/>
                <w:lang w:bidi="ar"/>
              </w:rPr>
              <w:t>Aythya baeri</w:t>
            </w:r>
          </w:p>
        </w:tc>
        <w:tc>
          <w:tcPr>
            <w:tcW w:w="978" w:type="dxa"/>
            <w:tcBorders>
              <w:top w:val="nil"/>
            </w:tcBorders>
            <w:shd w:val="clear" w:color="auto" w:fill="auto"/>
            <w:vAlign w:val="center"/>
          </w:tcPr>
          <w:p w14:paraId="6F5ACD5C">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一级</w:t>
            </w:r>
          </w:p>
        </w:tc>
        <w:tc>
          <w:tcPr>
            <w:tcW w:w="1580" w:type="dxa"/>
            <w:tcBorders>
              <w:top w:val="nil"/>
            </w:tcBorders>
            <w:shd w:val="clear" w:color="auto" w:fill="auto"/>
            <w:vAlign w:val="center"/>
          </w:tcPr>
          <w:p w14:paraId="24A8D08D">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极危（CR）</w:t>
            </w:r>
          </w:p>
        </w:tc>
        <w:tc>
          <w:tcPr>
            <w:tcW w:w="1325" w:type="dxa"/>
            <w:tcBorders>
              <w:top w:val="nil"/>
            </w:tcBorders>
            <w:shd w:val="clear" w:color="auto" w:fill="auto"/>
            <w:vAlign w:val="center"/>
          </w:tcPr>
          <w:p w14:paraId="344688F1">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否</w:t>
            </w:r>
          </w:p>
        </w:tc>
      </w:tr>
      <w:tr w14:paraId="763945D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06127D6C">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中华秋沙鸭</w:t>
            </w:r>
          </w:p>
        </w:tc>
        <w:tc>
          <w:tcPr>
            <w:tcW w:w="3014" w:type="dxa"/>
            <w:shd w:val="clear" w:color="auto" w:fill="auto"/>
            <w:vAlign w:val="center"/>
          </w:tcPr>
          <w:p w14:paraId="16E8AF91">
            <w:pPr>
              <w:ind w:firstLine="0" w:firstLineChars="0"/>
              <w:jc w:val="both"/>
              <w:rPr>
                <w:rFonts w:hint="default" w:ascii="Times New Roman" w:hAnsi="Times New Roman" w:eastAsia="宋体" w:cs="Times New Roman"/>
                <w:color w:val="auto"/>
                <w:sz w:val="24"/>
                <w:szCs w:val="24"/>
              </w:rPr>
            </w:pPr>
            <w:r>
              <w:rPr>
                <w:rStyle w:val="57"/>
                <w:rFonts w:hint="default" w:ascii="Times New Roman" w:hAnsi="Times New Roman" w:eastAsia="宋体" w:cs="Times New Roman"/>
                <w:color w:val="auto"/>
                <w:sz w:val="24"/>
                <w:szCs w:val="24"/>
                <w:lang w:bidi="ar"/>
              </w:rPr>
              <w:t>Mergus squamatus</w:t>
            </w:r>
          </w:p>
        </w:tc>
        <w:tc>
          <w:tcPr>
            <w:tcW w:w="978" w:type="dxa"/>
            <w:shd w:val="clear" w:color="auto" w:fill="auto"/>
            <w:vAlign w:val="center"/>
          </w:tcPr>
          <w:p w14:paraId="3FBE1760">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一级</w:t>
            </w:r>
          </w:p>
        </w:tc>
        <w:tc>
          <w:tcPr>
            <w:tcW w:w="1580" w:type="dxa"/>
            <w:shd w:val="clear" w:color="auto" w:fill="auto"/>
            <w:vAlign w:val="center"/>
          </w:tcPr>
          <w:p w14:paraId="37EBDD4F">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濒危（EN）</w:t>
            </w:r>
          </w:p>
        </w:tc>
        <w:tc>
          <w:tcPr>
            <w:tcW w:w="1325" w:type="dxa"/>
            <w:shd w:val="clear" w:color="auto" w:fill="auto"/>
            <w:vAlign w:val="center"/>
          </w:tcPr>
          <w:p w14:paraId="6F531BB6">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否</w:t>
            </w:r>
          </w:p>
        </w:tc>
      </w:tr>
      <w:tr w14:paraId="63A86F3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14100315">
            <w:pPr>
              <w:ind w:firstLine="0" w:firstLineChars="0"/>
              <w:jc w:val="both"/>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白头硬尾鸭</w:t>
            </w:r>
          </w:p>
        </w:tc>
        <w:tc>
          <w:tcPr>
            <w:tcW w:w="3014" w:type="dxa"/>
            <w:shd w:val="clear" w:color="auto" w:fill="auto"/>
            <w:vAlign w:val="center"/>
          </w:tcPr>
          <w:p w14:paraId="147E7F48">
            <w:pPr>
              <w:ind w:firstLine="0" w:firstLineChars="0"/>
              <w:jc w:val="both"/>
              <w:rPr>
                <w:rStyle w:val="57"/>
                <w:rFonts w:hint="default" w:ascii="Times New Roman" w:hAnsi="Times New Roman" w:eastAsia="宋体" w:cs="Times New Roman"/>
                <w:color w:val="auto"/>
                <w:sz w:val="24"/>
                <w:szCs w:val="24"/>
                <w:lang w:bidi="ar"/>
              </w:rPr>
            </w:pPr>
            <w:r>
              <w:rPr>
                <w:rStyle w:val="57"/>
                <w:rFonts w:hint="default" w:ascii="Times New Roman" w:hAnsi="Times New Roman" w:eastAsia="宋体" w:cs="Times New Roman"/>
                <w:color w:val="auto"/>
                <w:sz w:val="24"/>
                <w:szCs w:val="24"/>
                <w:lang w:bidi="ar"/>
              </w:rPr>
              <w:t>Oxyura leucocephala</w:t>
            </w:r>
          </w:p>
        </w:tc>
        <w:tc>
          <w:tcPr>
            <w:tcW w:w="978" w:type="dxa"/>
            <w:shd w:val="clear" w:color="auto" w:fill="auto"/>
            <w:vAlign w:val="center"/>
          </w:tcPr>
          <w:p w14:paraId="1323919C">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一级</w:t>
            </w:r>
          </w:p>
        </w:tc>
        <w:tc>
          <w:tcPr>
            <w:tcW w:w="1580" w:type="dxa"/>
            <w:shd w:val="clear" w:color="auto" w:fill="auto"/>
            <w:vAlign w:val="center"/>
          </w:tcPr>
          <w:p w14:paraId="1359F106">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极危（CR）</w:t>
            </w:r>
          </w:p>
        </w:tc>
        <w:tc>
          <w:tcPr>
            <w:tcW w:w="1325" w:type="dxa"/>
            <w:shd w:val="clear" w:color="auto" w:fill="auto"/>
            <w:vAlign w:val="center"/>
          </w:tcPr>
          <w:p w14:paraId="33438AC7">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否</w:t>
            </w:r>
          </w:p>
        </w:tc>
      </w:tr>
      <w:tr w14:paraId="21ADF8AD">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6451B64C">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黑鹳</w:t>
            </w:r>
          </w:p>
        </w:tc>
        <w:tc>
          <w:tcPr>
            <w:tcW w:w="3014" w:type="dxa"/>
            <w:shd w:val="clear" w:color="auto" w:fill="auto"/>
            <w:vAlign w:val="center"/>
          </w:tcPr>
          <w:p w14:paraId="1A8F448D">
            <w:pPr>
              <w:ind w:firstLine="0" w:firstLineChars="0"/>
              <w:jc w:val="both"/>
              <w:rPr>
                <w:rFonts w:hint="default" w:ascii="Times New Roman" w:hAnsi="Times New Roman" w:eastAsia="宋体" w:cs="Times New Roman"/>
                <w:color w:val="auto"/>
                <w:sz w:val="24"/>
                <w:szCs w:val="24"/>
              </w:rPr>
            </w:pPr>
            <w:r>
              <w:rPr>
                <w:rStyle w:val="57"/>
                <w:rFonts w:hint="default" w:ascii="Times New Roman" w:hAnsi="Times New Roman" w:eastAsia="宋体" w:cs="Times New Roman"/>
                <w:color w:val="auto"/>
                <w:sz w:val="24"/>
                <w:szCs w:val="24"/>
                <w:lang w:bidi="ar"/>
              </w:rPr>
              <w:t>Ciconia nigra</w:t>
            </w:r>
          </w:p>
        </w:tc>
        <w:tc>
          <w:tcPr>
            <w:tcW w:w="978" w:type="dxa"/>
            <w:shd w:val="clear" w:color="auto" w:fill="auto"/>
            <w:vAlign w:val="center"/>
          </w:tcPr>
          <w:p w14:paraId="0AB8508E">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一级</w:t>
            </w:r>
          </w:p>
        </w:tc>
        <w:tc>
          <w:tcPr>
            <w:tcW w:w="1580" w:type="dxa"/>
            <w:shd w:val="clear" w:color="auto" w:fill="auto"/>
            <w:vAlign w:val="center"/>
          </w:tcPr>
          <w:p w14:paraId="63D778B6">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易危（VU）</w:t>
            </w:r>
          </w:p>
        </w:tc>
        <w:tc>
          <w:tcPr>
            <w:tcW w:w="1325" w:type="dxa"/>
            <w:shd w:val="clear" w:color="auto" w:fill="auto"/>
            <w:vAlign w:val="center"/>
          </w:tcPr>
          <w:p w14:paraId="34AD816C">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否</w:t>
            </w:r>
          </w:p>
        </w:tc>
      </w:tr>
      <w:tr w14:paraId="006D252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3B489BE2">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东方白鹳</w:t>
            </w:r>
          </w:p>
        </w:tc>
        <w:tc>
          <w:tcPr>
            <w:tcW w:w="3014" w:type="dxa"/>
            <w:shd w:val="clear" w:color="auto" w:fill="auto"/>
            <w:vAlign w:val="center"/>
          </w:tcPr>
          <w:p w14:paraId="729AE887">
            <w:pPr>
              <w:ind w:firstLine="0" w:firstLineChars="0"/>
              <w:jc w:val="both"/>
              <w:rPr>
                <w:rFonts w:hint="default" w:ascii="Times New Roman" w:hAnsi="Times New Roman" w:eastAsia="宋体" w:cs="Times New Roman"/>
                <w:color w:val="auto"/>
                <w:sz w:val="24"/>
                <w:szCs w:val="24"/>
              </w:rPr>
            </w:pPr>
            <w:r>
              <w:rPr>
                <w:rStyle w:val="57"/>
                <w:rFonts w:hint="default" w:ascii="Times New Roman" w:hAnsi="Times New Roman" w:eastAsia="宋体" w:cs="Times New Roman"/>
                <w:color w:val="auto"/>
                <w:sz w:val="24"/>
                <w:szCs w:val="24"/>
                <w:lang w:bidi="ar"/>
              </w:rPr>
              <w:t>Ciconia boyciana</w:t>
            </w:r>
          </w:p>
        </w:tc>
        <w:tc>
          <w:tcPr>
            <w:tcW w:w="978" w:type="dxa"/>
            <w:shd w:val="clear" w:color="auto" w:fill="auto"/>
            <w:vAlign w:val="center"/>
          </w:tcPr>
          <w:p w14:paraId="2A9163B4">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一级</w:t>
            </w:r>
          </w:p>
        </w:tc>
        <w:tc>
          <w:tcPr>
            <w:tcW w:w="1580" w:type="dxa"/>
            <w:shd w:val="clear" w:color="auto" w:fill="auto"/>
            <w:vAlign w:val="center"/>
          </w:tcPr>
          <w:p w14:paraId="1D1FEC0E">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濒危（EN）</w:t>
            </w:r>
          </w:p>
        </w:tc>
        <w:tc>
          <w:tcPr>
            <w:tcW w:w="1325" w:type="dxa"/>
            <w:shd w:val="clear" w:color="auto" w:fill="auto"/>
            <w:vAlign w:val="center"/>
          </w:tcPr>
          <w:p w14:paraId="29FE7999">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否</w:t>
            </w:r>
          </w:p>
        </w:tc>
      </w:tr>
      <w:tr w14:paraId="682F5E8C">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7895A46F">
            <w:pPr>
              <w:ind w:firstLine="0" w:firstLineChars="0"/>
              <w:jc w:val="both"/>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黑脸琵鹭</w:t>
            </w:r>
          </w:p>
        </w:tc>
        <w:tc>
          <w:tcPr>
            <w:tcW w:w="3014" w:type="dxa"/>
            <w:shd w:val="clear" w:color="auto" w:fill="auto"/>
            <w:vAlign w:val="center"/>
          </w:tcPr>
          <w:p w14:paraId="1AF1F164">
            <w:pPr>
              <w:ind w:firstLine="0" w:firstLineChars="0"/>
              <w:jc w:val="both"/>
              <w:rPr>
                <w:rStyle w:val="57"/>
                <w:rFonts w:hint="default" w:ascii="Times New Roman" w:hAnsi="Times New Roman" w:eastAsia="宋体" w:cs="Times New Roman"/>
                <w:color w:val="auto"/>
                <w:sz w:val="24"/>
                <w:szCs w:val="24"/>
                <w:lang w:bidi="ar"/>
              </w:rPr>
            </w:pPr>
            <w:r>
              <w:rPr>
                <w:rStyle w:val="57"/>
                <w:rFonts w:hint="default" w:ascii="Times New Roman" w:hAnsi="Times New Roman" w:eastAsia="宋体" w:cs="Times New Roman"/>
                <w:color w:val="auto"/>
                <w:sz w:val="24"/>
                <w:szCs w:val="24"/>
                <w:lang w:bidi="ar"/>
              </w:rPr>
              <w:t>Platalea minor</w:t>
            </w:r>
          </w:p>
        </w:tc>
        <w:tc>
          <w:tcPr>
            <w:tcW w:w="978" w:type="dxa"/>
            <w:shd w:val="clear" w:color="auto" w:fill="auto"/>
            <w:vAlign w:val="center"/>
          </w:tcPr>
          <w:p w14:paraId="4209CA76">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一级</w:t>
            </w:r>
          </w:p>
        </w:tc>
        <w:tc>
          <w:tcPr>
            <w:tcW w:w="1580" w:type="dxa"/>
            <w:shd w:val="clear" w:color="auto" w:fill="auto"/>
            <w:vAlign w:val="center"/>
          </w:tcPr>
          <w:p w14:paraId="525898A6">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濒危（EN）</w:t>
            </w:r>
          </w:p>
        </w:tc>
        <w:tc>
          <w:tcPr>
            <w:tcW w:w="1325" w:type="dxa"/>
            <w:shd w:val="clear" w:color="auto" w:fill="auto"/>
            <w:vAlign w:val="center"/>
          </w:tcPr>
          <w:p w14:paraId="76B6EA24">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否</w:t>
            </w:r>
          </w:p>
        </w:tc>
      </w:tr>
      <w:tr w14:paraId="6E96F85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17F3A3E7">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乌雕</w:t>
            </w:r>
          </w:p>
        </w:tc>
        <w:tc>
          <w:tcPr>
            <w:tcW w:w="3014" w:type="dxa"/>
            <w:shd w:val="clear" w:color="auto" w:fill="auto"/>
            <w:vAlign w:val="center"/>
          </w:tcPr>
          <w:p w14:paraId="26078086">
            <w:pPr>
              <w:ind w:firstLine="0" w:firstLineChars="0"/>
              <w:jc w:val="both"/>
              <w:rPr>
                <w:rFonts w:hint="default" w:ascii="Times New Roman" w:hAnsi="Times New Roman" w:eastAsia="宋体" w:cs="Times New Roman"/>
                <w:color w:val="auto"/>
                <w:sz w:val="24"/>
                <w:szCs w:val="24"/>
              </w:rPr>
            </w:pPr>
            <w:r>
              <w:rPr>
                <w:rStyle w:val="57"/>
                <w:rFonts w:hint="default" w:ascii="Times New Roman" w:hAnsi="Times New Roman" w:eastAsia="宋体" w:cs="Times New Roman"/>
                <w:color w:val="auto"/>
                <w:sz w:val="24"/>
                <w:szCs w:val="24"/>
                <w:lang w:bidi="ar"/>
              </w:rPr>
              <w:t>Clanga clanga</w:t>
            </w:r>
          </w:p>
        </w:tc>
        <w:tc>
          <w:tcPr>
            <w:tcW w:w="978" w:type="dxa"/>
            <w:shd w:val="clear" w:color="auto" w:fill="auto"/>
            <w:vAlign w:val="center"/>
          </w:tcPr>
          <w:p w14:paraId="4FD292BC">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一级</w:t>
            </w:r>
          </w:p>
        </w:tc>
        <w:tc>
          <w:tcPr>
            <w:tcW w:w="1580" w:type="dxa"/>
            <w:shd w:val="clear" w:color="auto" w:fill="auto"/>
            <w:vAlign w:val="center"/>
          </w:tcPr>
          <w:p w14:paraId="4AA460C3">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濒危（EN）</w:t>
            </w:r>
          </w:p>
        </w:tc>
        <w:tc>
          <w:tcPr>
            <w:tcW w:w="1325" w:type="dxa"/>
            <w:shd w:val="clear" w:color="auto" w:fill="auto"/>
            <w:vAlign w:val="center"/>
          </w:tcPr>
          <w:p w14:paraId="10521A64">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否</w:t>
            </w:r>
          </w:p>
        </w:tc>
      </w:tr>
      <w:tr w14:paraId="0772264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21F3FC0D">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白鹤</w:t>
            </w:r>
          </w:p>
        </w:tc>
        <w:tc>
          <w:tcPr>
            <w:tcW w:w="3014" w:type="dxa"/>
            <w:shd w:val="clear" w:color="auto" w:fill="auto"/>
            <w:vAlign w:val="center"/>
          </w:tcPr>
          <w:p w14:paraId="2E755C0A">
            <w:pPr>
              <w:ind w:firstLine="0" w:firstLineChars="0"/>
              <w:jc w:val="both"/>
              <w:rPr>
                <w:rFonts w:hint="default" w:ascii="Times New Roman" w:hAnsi="Times New Roman" w:eastAsia="宋体" w:cs="Times New Roman"/>
                <w:color w:val="auto"/>
                <w:sz w:val="24"/>
                <w:szCs w:val="24"/>
              </w:rPr>
            </w:pPr>
            <w:r>
              <w:rPr>
                <w:rStyle w:val="57"/>
                <w:rFonts w:hint="default" w:ascii="Times New Roman" w:hAnsi="Times New Roman" w:eastAsia="宋体" w:cs="Times New Roman"/>
                <w:color w:val="auto"/>
                <w:sz w:val="24"/>
                <w:szCs w:val="24"/>
                <w:lang w:bidi="ar"/>
              </w:rPr>
              <w:t>Leucogeranus leucogeranus</w:t>
            </w:r>
          </w:p>
        </w:tc>
        <w:tc>
          <w:tcPr>
            <w:tcW w:w="978" w:type="dxa"/>
            <w:shd w:val="clear" w:color="auto" w:fill="auto"/>
            <w:vAlign w:val="center"/>
          </w:tcPr>
          <w:p w14:paraId="7BBD6AAF">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一级</w:t>
            </w:r>
          </w:p>
        </w:tc>
        <w:tc>
          <w:tcPr>
            <w:tcW w:w="1580" w:type="dxa"/>
            <w:shd w:val="clear" w:color="auto" w:fill="auto"/>
            <w:vAlign w:val="center"/>
          </w:tcPr>
          <w:p w14:paraId="42318623">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极危（CR）</w:t>
            </w:r>
          </w:p>
        </w:tc>
        <w:tc>
          <w:tcPr>
            <w:tcW w:w="1325" w:type="dxa"/>
            <w:shd w:val="clear" w:color="auto" w:fill="auto"/>
            <w:vAlign w:val="center"/>
          </w:tcPr>
          <w:p w14:paraId="1F053DB7">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否</w:t>
            </w:r>
          </w:p>
        </w:tc>
      </w:tr>
      <w:tr w14:paraId="70B92D8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236899DA">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海南鳽</w:t>
            </w:r>
          </w:p>
        </w:tc>
        <w:tc>
          <w:tcPr>
            <w:tcW w:w="3014" w:type="dxa"/>
            <w:shd w:val="clear" w:color="auto" w:fill="auto"/>
            <w:vAlign w:val="center"/>
          </w:tcPr>
          <w:p w14:paraId="7D3017F7">
            <w:pPr>
              <w:ind w:firstLine="0" w:firstLineChars="0"/>
              <w:jc w:val="both"/>
              <w:rPr>
                <w:rFonts w:hint="default" w:ascii="Times New Roman" w:hAnsi="Times New Roman" w:eastAsia="宋体" w:cs="Times New Roman"/>
                <w:color w:val="auto"/>
                <w:sz w:val="24"/>
                <w:szCs w:val="24"/>
              </w:rPr>
            </w:pPr>
            <w:r>
              <w:rPr>
                <w:rStyle w:val="57"/>
                <w:rFonts w:hint="default" w:ascii="Times New Roman" w:hAnsi="Times New Roman" w:eastAsia="宋体" w:cs="Times New Roman"/>
                <w:color w:val="auto"/>
                <w:sz w:val="24"/>
                <w:szCs w:val="24"/>
                <w:lang w:bidi="ar"/>
              </w:rPr>
              <w:t>Gorsachius magnificus</w:t>
            </w:r>
          </w:p>
        </w:tc>
        <w:tc>
          <w:tcPr>
            <w:tcW w:w="978" w:type="dxa"/>
            <w:shd w:val="clear" w:color="auto" w:fill="auto"/>
            <w:vAlign w:val="center"/>
          </w:tcPr>
          <w:p w14:paraId="4F1F6555">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一级</w:t>
            </w:r>
          </w:p>
        </w:tc>
        <w:tc>
          <w:tcPr>
            <w:tcW w:w="1580" w:type="dxa"/>
            <w:shd w:val="clear" w:color="auto" w:fill="auto"/>
            <w:vAlign w:val="center"/>
          </w:tcPr>
          <w:p w14:paraId="131FC472">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濒危（EN）</w:t>
            </w:r>
          </w:p>
        </w:tc>
        <w:tc>
          <w:tcPr>
            <w:tcW w:w="1325" w:type="dxa"/>
            <w:shd w:val="clear" w:color="auto" w:fill="auto"/>
            <w:vAlign w:val="center"/>
          </w:tcPr>
          <w:p w14:paraId="2768B9C2">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否</w:t>
            </w:r>
          </w:p>
        </w:tc>
      </w:tr>
      <w:tr w14:paraId="5E2A7D9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1653093A">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黄胸鹀</w:t>
            </w:r>
          </w:p>
        </w:tc>
        <w:tc>
          <w:tcPr>
            <w:tcW w:w="3014" w:type="dxa"/>
            <w:shd w:val="clear" w:color="auto" w:fill="auto"/>
            <w:vAlign w:val="center"/>
          </w:tcPr>
          <w:p w14:paraId="197D2A56">
            <w:pPr>
              <w:ind w:firstLine="0" w:firstLineChars="0"/>
              <w:jc w:val="both"/>
              <w:rPr>
                <w:rFonts w:hint="default" w:ascii="Times New Roman" w:hAnsi="Times New Roman" w:eastAsia="宋体" w:cs="Times New Roman"/>
                <w:color w:val="auto"/>
                <w:sz w:val="24"/>
                <w:szCs w:val="24"/>
              </w:rPr>
            </w:pPr>
            <w:r>
              <w:rPr>
                <w:rStyle w:val="57"/>
                <w:rFonts w:hint="default" w:ascii="Times New Roman" w:hAnsi="Times New Roman" w:eastAsia="宋体" w:cs="Times New Roman"/>
                <w:color w:val="auto"/>
                <w:sz w:val="24"/>
                <w:szCs w:val="24"/>
                <w:lang w:bidi="ar"/>
              </w:rPr>
              <w:t>Emberiza aureola</w:t>
            </w:r>
          </w:p>
        </w:tc>
        <w:tc>
          <w:tcPr>
            <w:tcW w:w="978" w:type="dxa"/>
            <w:shd w:val="clear" w:color="auto" w:fill="auto"/>
            <w:vAlign w:val="center"/>
          </w:tcPr>
          <w:p w14:paraId="0D8C4434">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一级</w:t>
            </w:r>
          </w:p>
        </w:tc>
        <w:tc>
          <w:tcPr>
            <w:tcW w:w="1580" w:type="dxa"/>
            <w:shd w:val="clear" w:color="auto" w:fill="auto"/>
            <w:vAlign w:val="center"/>
          </w:tcPr>
          <w:p w14:paraId="0386B4EB">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极危（CR）</w:t>
            </w:r>
          </w:p>
        </w:tc>
        <w:tc>
          <w:tcPr>
            <w:tcW w:w="1325" w:type="dxa"/>
            <w:shd w:val="clear" w:color="auto" w:fill="auto"/>
            <w:vAlign w:val="center"/>
          </w:tcPr>
          <w:p w14:paraId="57CEC7FE">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否</w:t>
            </w:r>
          </w:p>
        </w:tc>
      </w:tr>
      <w:tr w14:paraId="4BED2FE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7081A840">
            <w:pPr>
              <w:ind w:firstLine="0" w:firstLineChars="0"/>
              <w:jc w:val="both"/>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白肩雕</w:t>
            </w:r>
          </w:p>
        </w:tc>
        <w:tc>
          <w:tcPr>
            <w:tcW w:w="3014" w:type="dxa"/>
            <w:shd w:val="clear" w:color="auto" w:fill="auto"/>
            <w:vAlign w:val="center"/>
          </w:tcPr>
          <w:p w14:paraId="47A23C0B">
            <w:pPr>
              <w:ind w:firstLine="0" w:firstLineChars="0"/>
              <w:jc w:val="both"/>
              <w:rPr>
                <w:rStyle w:val="57"/>
                <w:rFonts w:hint="default" w:ascii="Times New Roman" w:hAnsi="Times New Roman" w:eastAsia="宋体" w:cs="Times New Roman"/>
                <w:color w:val="auto"/>
                <w:sz w:val="24"/>
                <w:szCs w:val="24"/>
                <w:lang w:bidi="ar"/>
              </w:rPr>
            </w:pPr>
            <w:r>
              <w:rPr>
                <w:rStyle w:val="57"/>
                <w:rFonts w:hint="default" w:ascii="Times New Roman" w:hAnsi="Times New Roman" w:eastAsia="宋体" w:cs="Times New Roman"/>
                <w:color w:val="auto"/>
                <w:sz w:val="24"/>
                <w:szCs w:val="24"/>
                <w:lang w:bidi="ar"/>
              </w:rPr>
              <w:t>Aquila heliaca</w:t>
            </w:r>
          </w:p>
        </w:tc>
        <w:tc>
          <w:tcPr>
            <w:tcW w:w="978" w:type="dxa"/>
            <w:shd w:val="clear" w:color="auto" w:fill="auto"/>
            <w:vAlign w:val="center"/>
          </w:tcPr>
          <w:p w14:paraId="3C240CB8">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一级</w:t>
            </w:r>
          </w:p>
        </w:tc>
        <w:tc>
          <w:tcPr>
            <w:tcW w:w="1580" w:type="dxa"/>
            <w:shd w:val="clear" w:color="auto" w:fill="auto"/>
            <w:vAlign w:val="center"/>
          </w:tcPr>
          <w:p w14:paraId="38F4EE49">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濒危（EN）</w:t>
            </w:r>
          </w:p>
        </w:tc>
        <w:tc>
          <w:tcPr>
            <w:tcW w:w="1325" w:type="dxa"/>
            <w:shd w:val="clear" w:color="auto" w:fill="auto"/>
            <w:vAlign w:val="center"/>
          </w:tcPr>
          <w:p w14:paraId="2DC48874">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否</w:t>
            </w:r>
          </w:p>
        </w:tc>
      </w:tr>
      <w:tr w14:paraId="08887EF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56A6FE60">
            <w:pPr>
              <w:ind w:firstLine="0" w:firstLineChars="0"/>
              <w:jc w:val="both"/>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白尾海雕</w:t>
            </w:r>
          </w:p>
        </w:tc>
        <w:tc>
          <w:tcPr>
            <w:tcW w:w="3014" w:type="dxa"/>
            <w:shd w:val="clear" w:color="auto" w:fill="auto"/>
            <w:vAlign w:val="center"/>
          </w:tcPr>
          <w:p w14:paraId="2FEC7BB1">
            <w:pPr>
              <w:ind w:firstLine="0" w:firstLineChars="0"/>
              <w:jc w:val="both"/>
              <w:rPr>
                <w:rStyle w:val="57"/>
                <w:rFonts w:hint="default" w:ascii="Times New Roman" w:hAnsi="Times New Roman" w:eastAsia="宋体" w:cs="Times New Roman"/>
                <w:color w:val="auto"/>
                <w:sz w:val="24"/>
                <w:szCs w:val="24"/>
                <w:lang w:bidi="ar"/>
              </w:rPr>
            </w:pPr>
            <w:r>
              <w:rPr>
                <w:rStyle w:val="57"/>
                <w:rFonts w:hint="default" w:ascii="Times New Roman" w:hAnsi="Times New Roman" w:eastAsia="宋体" w:cs="Times New Roman"/>
                <w:color w:val="auto"/>
                <w:sz w:val="24"/>
                <w:szCs w:val="24"/>
                <w:lang w:bidi="ar"/>
              </w:rPr>
              <w:t>Haliaeetus albicilla</w:t>
            </w:r>
          </w:p>
        </w:tc>
        <w:tc>
          <w:tcPr>
            <w:tcW w:w="978" w:type="dxa"/>
            <w:shd w:val="clear" w:color="auto" w:fill="auto"/>
            <w:vAlign w:val="center"/>
          </w:tcPr>
          <w:p w14:paraId="1529B5E6">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一级</w:t>
            </w:r>
          </w:p>
        </w:tc>
        <w:tc>
          <w:tcPr>
            <w:tcW w:w="1580" w:type="dxa"/>
            <w:shd w:val="clear" w:color="auto" w:fill="auto"/>
            <w:vAlign w:val="center"/>
          </w:tcPr>
          <w:p w14:paraId="73C6FA50">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易危（VU）</w:t>
            </w:r>
          </w:p>
        </w:tc>
        <w:tc>
          <w:tcPr>
            <w:tcW w:w="1325" w:type="dxa"/>
            <w:shd w:val="clear" w:color="auto" w:fill="auto"/>
            <w:vAlign w:val="center"/>
          </w:tcPr>
          <w:p w14:paraId="561F20E4">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否</w:t>
            </w:r>
          </w:p>
        </w:tc>
      </w:tr>
      <w:tr w14:paraId="1D9D99C2">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43763623">
            <w:pPr>
              <w:ind w:firstLine="0" w:firstLineChars="0"/>
              <w:jc w:val="both"/>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鸿雁</w:t>
            </w:r>
          </w:p>
        </w:tc>
        <w:tc>
          <w:tcPr>
            <w:tcW w:w="3014" w:type="dxa"/>
            <w:shd w:val="clear" w:color="auto" w:fill="auto"/>
            <w:vAlign w:val="center"/>
          </w:tcPr>
          <w:p w14:paraId="67AD7E06">
            <w:pPr>
              <w:ind w:firstLine="0" w:firstLineChars="0"/>
              <w:jc w:val="both"/>
              <w:rPr>
                <w:rStyle w:val="57"/>
                <w:rFonts w:hint="default" w:ascii="Times New Roman" w:hAnsi="Times New Roman" w:eastAsia="宋体" w:cs="Times New Roman"/>
                <w:color w:val="auto"/>
                <w:sz w:val="24"/>
                <w:szCs w:val="24"/>
                <w:lang w:bidi="ar"/>
              </w:rPr>
            </w:pPr>
            <w:r>
              <w:rPr>
                <w:rStyle w:val="57"/>
                <w:rFonts w:hint="default" w:ascii="Times New Roman" w:hAnsi="Times New Roman" w:eastAsia="宋体" w:cs="Times New Roman"/>
                <w:color w:val="auto"/>
                <w:sz w:val="24"/>
                <w:szCs w:val="24"/>
                <w:lang w:bidi="ar"/>
              </w:rPr>
              <w:t>Anser cygnoides</w:t>
            </w:r>
          </w:p>
        </w:tc>
        <w:tc>
          <w:tcPr>
            <w:tcW w:w="978" w:type="dxa"/>
            <w:shd w:val="clear" w:color="auto" w:fill="auto"/>
            <w:vAlign w:val="center"/>
          </w:tcPr>
          <w:p w14:paraId="4A242C60">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二级</w:t>
            </w:r>
          </w:p>
        </w:tc>
        <w:tc>
          <w:tcPr>
            <w:tcW w:w="1580" w:type="dxa"/>
            <w:shd w:val="clear" w:color="auto" w:fill="auto"/>
            <w:vAlign w:val="center"/>
          </w:tcPr>
          <w:p w14:paraId="2AAF59EB">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易危（VU）</w:t>
            </w:r>
          </w:p>
        </w:tc>
        <w:tc>
          <w:tcPr>
            <w:tcW w:w="1325" w:type="dxa"/>
            <w:shd w:val="clear" w:color="auto" w:fill="auto"/>
            <w:vAlign w:val="center"/>
          </w:tcPr>
          <w:p w14:paraId="490944A9">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否</w:t>
            </w:r>
          </w:p>
        </w:tc>
      </w:tr>
      <w:tr w14:paraId="62181DB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4869EE80">
            <w:pPr>
              <w:ind w:firstLine="0" w:firstLineChars="0"/>
              <w:jc w:val="both"/>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小白额雁</w:t>
            </w:r>
          </w:p>
        </w:tc>
        <w:tc>
          <w:tcPr>
            <w:tcW w:w="3014" w:type="dxa"/>
            <w:shd w:val="clear" w:color="auto" w:fill="auto"/>
            <w:vAlign w:val="center"/>
          </w:tcPr>
          <w:p w14:paraId="520AF3AC">
            <w:pPr>
              <w:ind w:firstLine="0" w:firstLineChars="0"/>
              <w:jc w:val="both"/>
              <w:rPr>
                <w:rStyle w:val="57"/>
                <w:rFonts w:hint="default" w:ascii="Times New Roman" w:hAnsi="Times New Roman" w:eastAsia="宋体" w:cs="Times New Roman"/>
                <w:color w:val="auto"/>
                <w:sz w:val="24"/>
                <w:szCs w:val="24"/>
                <w:lang w:bidi="ar"/>
              </w:rPr>
            </w:pPr>
            <w:r>
              <w:rPr>
                <w:rStyle w:val="57"/>
                <w:rFonts w:hint="default" w:ascii="Times New Roman" w:hAnsi="Times New Roman" w:eastAsia="宋体" w:cs="Times New Roman"/>
                <w:color w:val="auto"/>
                <w:sz w:val="24"/>
                <w:szCs w:val="24"/>
                <w:lang w:bidi="ar"/>
              </w:rPr>
              <w:t>Anser erythropus</w:t>
            </w:r>
          </w:p>
        </w:tc>
        <w:tc>
          <w:tcPr>
            <w:tcW w:w="978" w:type="dxa"/>
            <w:shd w:val="clear" w:color="auto" w:fill="auto"/>
            <w:vAlign w:val="center"/>
          </w:tcPr>
          <w:p w14:paraId="728D5A26">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二级</w:t>
            </w:r>
          </w:p>
        </w:tc>
        <w:tc>
          <w:tcPr>
            <w:tcW w:w="1580" w:type="dxa"/>
            <w:shd w:val="clear" w:color="auto" w:fill="auto"/>
            <w:vAlign w:val="center"/>
          </w:tcPr>
          <w:p w14:paraId="146AD0C9">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易危（VU）</w:t>
            </w:r>
          </w:p>
        </w:tc>
        <w:tc>
          <w:tcPr>
            <w:tcW w:w="1325" w:type="dxa"/>
            <w:shd w:val="clear" w:color="auto" w:fill="auto"/>
            <w:vAlign w:val="center"/>
          </w:tcPr>
          <w:p w14:paraId="09A071D4">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否</w:t>
            </w:r>
          </w:p>
        </w:tc>
      </w:tr>
      <w:tr w14:paraId="559169B1">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2BA3E847">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棉凫</w:t>
            </w:r>
          </w:p>
        </w:tc>
        <w:tc>
          <w:tcPr>
            <w:tcW w:w="3014" w:type="dxa"/>
            <w:shd w:val="clear" w:color="auto" w:fill="auto"/>
            <w:vAlign w:val="center"/>
          </w:tcPr>
          <w:p w14:paraId="072F8FCF">
            <w:pPr>
              <w:ind w:firstLine="0" w:firstLineChars="0"/>
              <w:jc w:val="both"/>
              <w:rPr>
                <w:rFonts w:hint="default" w:ascii="Times New Roman" w:hAnsi="Times New Roman" w:eastAsia="宋体" w:cs="Times New Roman"/>
                <w:color w:val="auto"/>
                <w:sz w:val="24"/>
                <w:szCs w:val="24"/>
              </w:rPr>
            </w:pPr>
            <w:r>
              <w:rPr>
                <w:rStyle w:val="57"/>
                <w:rFonts w:hint="default" w:ascii="Times New Roman" w:hAnsi="Times New Roman" w:eastAsia="宋体" w:cs="Times New Roman"/>
                <w:color w:val="auto"/>
                <w:sz w:val="24"/>
                <w:szCs w:val="24"/>
                <w:lang w:bidi="ar"/>
              </w:rPr>
              <w:t>Nettapus coromandelianus</w:t>
            </w:r>
          </w:p>
        </w:tc>
        <w:tc>
          <w:tcPr>
            <w:tcW w:w="978" w:type="dxa"/>
            <w:shd w:val="clear" w:color="auto" w:fill="auto"/>
            <w:vAlign w:val="center"/>
          </w:tcPr>
          <w:p w14:paraId="62B1AA7D">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二级</w:t>
            </w:r>
          </w:p>
        </w:tc>
        <w:tc>
          <w:tcPr>
            <w:tcW w:w="1580" w:type="dxa"/>
            <w:shd w:val="clear" w:color="auto" w:fill="auto"/>
            <w:vAlign w:val="center"/>
          </w:tcPr>
          <w:p w14:paraId="57156FB7">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濒危（EN）</w:t>
            </w:r>
          </w:p>
        </w:tc>
        <w:tc>
          <w:tcPr>
            <w:tcW w:w="1325" w:type="dxa"/>
            <w:shd w:val="clear" w:color="auto" w:fill="auto"/>
            <w:vAlign w:val="center"/>
          </w:tcPr>
          <w:p w14:paraId="7F31CC1A">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否</w:t>
            </w:r>
          </w:p>
        </w:tc>
      </w:tr>
      <w:tr w14:paraId="2C7F3AF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79E84FC1">
            <w:pPr>
              <w:ind w:firstLine="0" w:firstLineChars="0"/>
              <w:jc w:val="both"/>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白腹隼雕</w:t>
            </w:r>
          </w:p>
        </w:tc>
        <w:tc>
          <w:tcPr>
            <w:tcW w:w="3014" w:type="dxa"/>
            <w:shd w:val="clear" w:color="auto" w:fill="auto"/>
            <w:vAlign w:val="center"/>
          </w:tcPr>
          <w:p w14:paraId="00CAED70">
            <w:pPr>
              <w:ind w:firstLine="0" w:firstLineChars="0"/>
              <w:jc w:val="both"/>
              <w:rPr>
                <w:rFonts w:hint="default" w:ascii="Times New Roman" w:hAnsi="Times New Roman" w:eastAsia="宋体" w:cs="Times New Roman"/>
                <w:color w:val="auto"/>
                <w:sz w:val="24"/>
                <w:szCs w:val="24"/>
              </w:rPr>
            </w:pPr>
            <w:r>
              <w:rPr>
                <w:rStyle w:val="57"/>
                <w:rFonts w:hint="default" w:ascii="Times New Roman" w:hAnsi="Times New Roman" w:eastAsia="宋体" w:cs="Times New Roman"/>
                <w:color w:val="auto"/>
                <w:sz w:val="24"/>
                <w:szCs w:val="24"/>
                <w:lang w:bidi="ar"/>
              </w:rPr>
              <w:t>Aquila fasciata</w:t>
            </w:r>
          </w:p>
        </w:tc>
        <w:tc>
          <w:tcPr>
            <w:tcW w:w="978" w:type="dxa"/>
            <w:shd w:val="clear" w:color="auto" w:fill="auto"/>
            <w:vAlign w:val="center"/>
          </w:tcPr>
          <w:p w14:paraId="29810124">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二级</w:t>
            </w:r>
          </w:p>
        </w:tc>
        <w:tc>
          <w:tcPr>
            <w:tcW w:w="1580" w:type="dxa"/>
            <w:shd w:val="clear" w:color="auto" w:fill="auto"/>
            <w:vAlign w:val="center"/>
          </w:tcPr>
          <w:p w14:paraId="4A53FCCA">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易危（VU）</w:t>
            </w:r>
          </w:p>
        </w:tc>
        <w:tc>
          <w:tcPr>
            <w:tcW w:w="1325" w:type="dxa"/>
            <w:shd w:val="clear" w:color="auto" w:fill="auto"/>
            <w:vAlign w:val="center"/>
          </w:tcPr>
          <w:p w14:paraId="5384A627">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否</w:t>
            </w:r>
          </w:p>
        </w:tc>
      </w:tr>
      <w:tr w14:paraId="5C0770B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4BCB138A">
            <w:pPr>
              <w:ind w:firstLine="0" w:firstLineChars="0"/>
              <w:jc w:val="both"/>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大杓鹬</w:t>
            </w:r>
          </w:p>
        </w:tc>
        <w:tc>
          <w:tcPr>
            <w:tcW w:w="3014" w:type="dxa"/>
            <w:shd w:val="clear" w:color="auto" w:fill="auto"/>
            <w:vAlign w:val="center"/>
          </w:tcPr>
          <w:p w14:paraId="140165F8">
            <w:pPr>
              <w:ind w:firstLine="0" w:firstLineChars="0"/>
              <w:jc w:val="both"/>
              <w:rPr>
                <w:rStyle w:val="57"/>
                <w:rFonts w:hint="default" w:ascii="Times New Roman" w:hAnsi="Times New Roman" w:eastAsia="宋体" w:cs="Times New Roman"/>
                <w:color w:val="auto"/>
                <w:sz w:val="24"/>
                <w:szCs w:val="24"/>
                <w:lang w:bidi="ar"/>
              </w:rPr>
            </w:pPr>
            <w:r>
              <w:rPr>
                <w:rStyle w:val="57"/>
                <w:rFonts w:hint="default" w:ascii="Times New Roman" w:hAnsi="Times New Roman" w:eastAsia="宋体" w:cs="Times New Roman"/>
                <w:color w:val="auto"/>
                <w:sz w:val="24"/>
                <w:szCs w:val="24"/>
                <w:lang w:bidi="ar"/>
              </w:rPr>
              <w:t>Numenius madagascariensis</w:t>
            </w:r>
          </w:p>
        </w:tc>
        <w:tc>
          <w:tcPr>
            <w:tcW w:w="978" w:type="dxa"/>
            <w:shd w:val="clear" w:color="auto" w:fill="auto"/>
            <w:vAlign w:val="center"/>
          </w:tcPr>
          <w:p w14:paraId="3A834F3F">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二级</w:t>
            </w:r>
          </w:p>
        </w:tc>
        <w:tc>
          <w:tcPr>
            <w:tcW w:w="1580" w:type="dxa"/>
            <w:shd w:val="clear" w:color="auto" w:fill="auto"/>
            <w:vAlign w:val="center"/>
          </w:tcPr>
          <w:p w14:paraId="63129C1D">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易危（VU）</w:t>
            </w:r>
          </w:p>
        </w:tc>
        <w:tc>
          <w:tcPr>
            <w:tcW w:w="1325" w:type="dxa"/>
            <w:shd w:val="clear" w:color="auto" w:fill="auto"/>
            <w:vAlign w:val="center"/>
          </w:tcPr>
          <w:p w14:paraId="70D229B0">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否</w:t>
            </w:r>
          </w:p>
        </w:tc>
      </w:tr>
      <w:tr w14:paraId="4BCC074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3BA390BA">
            <w:pPr>
              <w:ind w:firstLine="0" w:firstLineChars="0"/>
              <w:jc w:val="both"/>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仙八色鸫</w:t>
            </w:r>
          </w:p>
        </w:tc>
        <w:tc>
          <w:tcPr>
            <w:tcW w:w="3014" w:type="dxa"/>
            <w:shd w:val="clear" w:color="auto" w:fill="auto"/>
            <w:vAlign w:val="center"/>
          </w:tcPr>
          <w:p w14:paraId="165F1D49">
            <w:pPr>
              <w:ind w:firstLine="0" w:firstLineChars="0"/>
              <w:jc w:val="both"/>
              <w:rPr>
                <w:rFonts w:hint="default" w:ascii="Times New Roman" w:hAnsi="Times New Roman" w:eastAsia="宋体" w:cs="Times New Roman"/>
                <w:color w:val="auto"/>
                <w:sz w:val="24"/>
                <w:szCs w:val="24"/>
                <w:lang w:bidi="ar"/>
              </w:rPr>
            </w:pPr>
            <w:r>
              <w:rPr>
                <w:rStyle w:val="57"/>
                <w:rFonts w:hint="default" w:ascii="Times New Roman" w:hAnsi="Times New Roman" w:eastAsia="宋体" w:cs="Times New Roman"/>
                <w:color w:val="auto"/>
                <w:sz w:val="24"/>
                <w:szCs w:val="24"/>
                <w:lang w:bidi="ar"/>
              </w:rPr>
              <w:t>Pitta nympha</w:t>
            </w:r>
          </w:p>
        </w:tc>
        <w:tc>
          <w:tcPr>
            <w:tcW w:w="978" w:type="dxa"/>
            <w:shd w:val="clear" w:color="auto" w:fill="auto"/>
            <w:vAlign w:val="center"/>
          </w:tcPr>
          <w:p w14:paraId="674AA8DA">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二级</w:t>
            </w:r>
          </w:p>
        </w:tc>
        <w:tc>
          <w:tcPr>
            <w:tcW w:w="1580" w:type="dxa"/>
            <w:shd w:val="clear" w:color="auto" w:fill="auto"/>
            <w:vAlign w:val="center"/>
          </w:tcPr>
          <w:p w14:paraId="70E30E16">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易危（VU）</w:t>
            </w:r>
          </w:p>
        </w:tc>
        <w:tc>
          <w:tcPr>
            <w:tcW w:w="1325" w:type="dxa"/>
            <w:shd w:val="clear" w:color="auto" w:fill="auto"/>
            <w:vAlign w:val="center"/>
          </w:tcPr>
          <w:p w14:paraId="5158C7D2">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否</w:t>
            </w:r>
          </w:p>
        </w:tc>
      </w:tr>
      <w:tr w14:paraId="59D1FC9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3FD48753">
            <w:pPr>
              <w:ind w:firstLine="0" w:firstLineChars="0"/>
              <w:jc w:val="both"/>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水雉</w:t>
            </w:r>
          </w:p>
        </w:tc>
        <w:tc>
          <w:tcPr>
            <w:tcW w:w="3014" w:type="dxa"/>
            <w:shd w:val="clear" w:color="auto" w:fill="auto"/>
            <w:vAlign w:val="center"/>
          </w:tcPr>
          <w:p w14:paraId="37ECF3C8">
            <w:pPr>
              <w:ind w:firstLine="0" w:firstLineChars="0"/>
              <w:jc w:val="both"/>
              <w:rPr>
                <w:rStyle w:val="57"/>
                <w:rFonts w:hint="default" w:ascii="Times New Roman" w:hAnsi="Times New Roman" w:eastAsia="宋体" w:cs="Times New Roman"/>
                <w:color w:val="auto"/>
                <w:sz w:val="24"/>
                <w:szCs w:val="24"/>
                <w:lang w:bidi="ar"/>
              </w:rPr>
            </w:pPr>
            <w:r>
              <w:rPr>
                <w:rStyle w:val="57"/>
                <w:rFonts w:hint="default" w:ascii="Times New Roman" w:hAnsi="Times New Roman" w:eastAsia="宋体" w:cs="Times New Roman"/>
                <w:color w:val="auto"/>
                <w:sz w:val="24"/>
                <w:szCs w:val="24"/>
                <w:lang w:bidi="ar"/>
              </w:rPr>
              <w:t>Hydrophasianus chirurgus</w:t>
            </w:r>
          </w:p>
        </w:tc>
        <w:tc>
          <w:tcPr>
            <w:tcW w:w="978" w:type="dxa"/>
            <w:shd w:val="clear" w:color="auto" w:fill="auto"/>
            <w:vAlign w:val="center"/>
          </w:tcPr>
          <w:p w14:paraId="3042E3E0">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二级</w:t>
            </w:r>
          </w:p>
        </w:tc>
        <w:tc>
          <w:tcPr>
            <w:tcW w:w="1580" w:type="dxa"/>
            <w:shd w:val="clear" w:color="auto" w:fill="auto"/>
            <w:vAlign w:val="center"/>
          </w:tcPr>
          <w:p w14:paraId="6AF0DF24">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近危（NT）</w:t>
            </w:r>
          </w:p>
        </w:tc>
        <w:tc>
          <w:tcPr>
            <w:tcW w:w="1325" w:type="dxa"/>
            <w:shd w:val="clear" w:color="auto" w:fill="auto"/>
            <w:vAlign w:val="center"/>
          </w:tcPr>
          <w:p w14:paraId="75F8A47B">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否</w:t>
            </w:r>
          </w:p>
        </w:tc>
      </w:tr>
      <w:tr w14:paraId="6AF8114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3D886E8F">
            <w:pPr>
              <w:ind w:firstLine="0" w:firstLineChars="0"/>
              <w:jc w:val="both"/>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蓝喉蜂虎</w:t>
            </w:r>
          </w:p>
        </w:tc>
        <w:tc>
          <w:tcPr>
            <w:tcW w:w="3014" w:type="dxa"/>
            <w:shd w:val="clear" w:color="auto" w:fill="auto"/>
            <w:vAlign w:val="center"/>
          </w:tcPr>
          <w:p w14:paraId="515E4F80">
            <w:pPr>
              <w:ind w:firstLine="0" w:firstLineChars="0"/>
              <w:jc w:val="both"/>
              <w:rPr>
                <w:rStyle w:val="57"/>
                <w:rFonts w:hint="default" w:ascii="Times New Roman" w:hAnsi="Times New Roman" w:eastAsia="宋体" w:cs="Times New Roman"/>
                <w:color w:val="auto"/>
                <w:sz w:val="24"/>
                <w:szCs w:val="24"/>
                <w:lang w:bidi="ar"/>
              </w:rPr>
            </w:pPr>
            <w:r>
              <w:rPr>
                <w:rStyle w:val="57"/>
                <w:rFonts w:hint="default" w:ascii="Times New Roman" w:hAnsi="Times New Roman" w:eastAsia="宋体" w:cs="Times New Roman"/>
                <w:color w:val="auto"/>
                <w:sz w:val="24"/>
                <w:szCs w:val="24"/>
                <w:lang w:bidi="ar"/>
              </w:rPr>
              <w:t>Merops viridis</w:t>
            </w:r>
          </w:p>
        </w:tc>
        <w:tc>
          <w:tcPr>
            <w:tcW w:w="978" w:type="dxa"/>
            <w:shd w:val="clear" w:color="auto" w:fill="auto"/>
            <w:vAlign w:val="center"/>
          </w:tcPr>
          <w:p w14:paraId="22CC9C21">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二级</w:t>
            </w:r>
          </w:p>
        </w:tc>
        <w:tc>
          <w:tcPr>
            <w:tcW w:w="1580" w:type="dxa"/>
            <w:shd w:val="clear" w:color="auto" w:fill="auto"/>
            <w:vAlign w:val="center"/>
          </w:tcPr>
          <w:p w14:paraId="242D1DE5">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无危（LC）</w:t>
            </w:r>
          </w:p>
        </w:tc>
        <w:tc>
          <w:tcPr>
            <w:tcW w:w="1325" w:type="dxa"/>
            <w:shd w:val="clear" w:color="auto" w:fill="auto"/>
            <w:vAlign w:val="center"/>
          </w:tcPr>
          <w:p w14:paraId="66CCB764">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否</w:t>
            </w:r>
          </w:p>
        </w:tc>
      </w:tr>
      <w:tr w14:paraId="60B1940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406FBFD6">
            <w:pPr>
              <w:ind w:firstLine="0" w:firstLineChars="0"/>
              <w:jc w:val="both"/>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白胸翡翠</w:t>
            </w:r>
          </w:p>
        </w:tc>
        <w:tc>
          <w:tcPr>
            <w:tcW w:w="3014" w:type="dxa"/>
            <w:shd w:val="clear" w:color="auto" w:fill="auto"/>
            <w:vAlign w:val="center"/>
          </w:tcPr>
          <w:p w14:paraId="3F324CE3">
            <w:pPr>
              <w:ind w:firstLine="0" w:firstLineChars="0"/>
              <w:jc w:val="both"/>
              <w:rPr>
                <w:rStyle w:val="57"/>
                <w:rFonts w:hint="default" w:ascii="Times New Roman" w:hAnsi="Times New Roman" w:eastAsia="宋体" w:cs="Times New Roman"/>
                <w:color w:val="auto"/>
                <w:sz w:val="24"/>
                <w:szCs w:val="24"/>
                <w:lang w:bidi="ar"/>
              </w:rPr>
            </w:pPr>
            <w:r>
              <w:rPr>
                <w:rStyle w:val="57"/>
                <w:rFonts w:hint="default" w:ascii="Times New Roman" w:hAnsi="Times New Roman" w:eastAsia="宋体" w:cs="Times New Roman"/>
                <w:color w:val="auto"/>
                <w:sz w:val="24"/>
                <w:szCs w:val="24"/>
                <w:lang w:bidi="ar"/>
              </w:rPr>
              <w:t>Halcyon smyrnensis</w:t>
            </w:r>
          </w:p>
        </w:tc>
        <w:tc>
          <w:tcPr>
            <w:tcW w:w="978" w:type="dxa"/>
            <w:shd w:val="clear" w:color="auto" w:fill="auto"/>
            <w:vAlign w:val="center"/>
          </w:tcPr>
          <w:p w14:paraId="309C1F21">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二级</w:t>
            </w:r>
          </w:p>
        </w:tc>
        <w:tc>
          <w:tcPr>
            <w:tcW w:w="1580" w:type="dxa"/>
            <w:shd w:val="clear" w:color="auto" w:fill="auto"/>
            <w:vAlign w:val="center"/>
          </w:tcPr>
          <w:p w14:paraId="40DB0CDF">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无危（LC）</w:t>
            </w:r>
          </w:p>
        </w:tc>
        <w:tc>
          <w:tcPr>
            <w:tcW w:w="1325" w:type="dxa"/>
            <w:shd w:val="clear" w:color="auto" w:fill="auto"/>
            <w:vAlign w:val="center"/>
          </w:tcPr>
          <w:p w14:paraId="701834EA">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否</w:t>
            </w:r>
          </w:p>
        </w:tc>
      </w:tr>
      <w:tr w14:paraId="44AAAAA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58C552BD">
            <w:pPr>
              <w:ind w:firstLine="0" w:firstLineChars="0"/>
              <w:jc w:val="both"/>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画眉</w:t>
            </w:r>
          </w:p>
        </w:tc>
        <w:tc>
          <w:tcPr>
            <w:tcW w:w="3014" w:type="dxa"/>
            <w:shd w:val="clear" w:color="auto" w:fill="auto"/>
            <w:vAlign w:val="center"/>
          </w:tcPr>
          <w:p w14:paraId="3D30EE0B">
            <w:pPr>
              <w:ind w:firstLine="0" w:firstLineChars="0"/>
              <w:jc w:val="both"/>
              <w:rPr>
                <w:rStyle w:val="57"/>
                <w:rFonts w:hint="default" w:ascii="Times New Roman" w:hAnsi="Times New Roman" w:eastAsia="宋体" w:cs="Times New Roman"/>
                <w:color w:val="auto"/>
                <w:sz w:val="24"/>
                <w:szCs w:val="24"/>
                <w:lang w:bidi="ar"/>
              </w:rPr>
            </w:pPr>
            <w:r>
              <w:rPr>
                <w:rStyle w:val="57"/>
                <w:rFonts w:hint="default" w:ascii="Times New Roman" w:hAnsi="Times New Roman" w:eastAsia="宋体" w:cs="Times New Roman"/>
                <w:color w:val="auto"/>
                <w:sz w:val="24"/>
                <w:szCs w:val="24"/>
                <w:lang w:bidi="ar"/>
              </w:rPr>
              <w:t>Garrulax canorus</w:t>
            </w:r>
          </w:p>
        </w:tc>
        <w:tc>
          <w:tcPr>
            <w:tcW w:w="978" w:type="dxa"/>
            <w:shd w:val="clear" w:color="auto" w:fill="auto"/>
            <w:vAlign w:val="center"/>
          </w:tcPr>
          <w:p w14:paraId="3A24BD92">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二级</w:t>
            </w:r>
          </w:p>
        </w:tc>
        <w:tc>
          <w:tcPr>
            <w:tcW w:w="1580" w:type="dxa"/>
            <w:shd w:val="clear" w:color="auto" w:fill="auto"/>
            <w:vAlign w:val="center"/>
          </w:tcPr>
          <w:p w14:paraId="4ACAA623">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近危（NT）</w:t>
            </w:r>
          </w:p>
        </w:tc>
        <w:tc>
          <w:tcPr>
            <w:tcW w:w="1325" w:type="dxa"/>
            <w:shd w:val="clear" w:color="auto" w:fill="auto"/>
            <w:vAlign w:val="center"/>
          </w:tcPr>
          <w:p w14:paraId="3039F9B9">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否</w:t>
            </w:r>
          </w:p>
        </w:tc>
      </w:tr>
      <w:tr w14:paraId="2BDB7D0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57" w:type="dxa"/>
            <w:bottom w:w="0" w:type="dxa"/>
            <w:right w:w="57" w:type="dxa"/>
          </w:tblCellMar>
        </w:tblPrEx>
        <w:trPr>
          <w:trHeight w:val="454" w:hRule="atLeast"/>
          <w:jc w:val="center"/>
        </w:trPr>
        <w:tc>
          <w:tcPr>
            <w:tcW w:w="1448" w:type="dxa"/>
            <w:shd w:val="clear" w:color="auto" w:fill="auto"/>
            <w:vAlign w:val="center"/>
          </w:tcPr>
          <w:p w14:paraId="5AA15744">
            <w:pPr>
              <w:ind w:firstLine="0" w:firstLineChars="0"/>
              <w:jc w:val="both"/>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蓝喉歌鸲</w:t>
            </w:r>
          </w:p>
        </w:tc>
        <w:tc>
          <w:tcPr>
            <w:tcW w:w="3014" w:type="dxa"/>
            <w:shd w:val="clear" w:color="auto" w:fill="auto"/>
            <w:vAlign w:val="center"/>
          </w:tcPr>
          <w:p w14:paraId="7F6C8232">
            <w:pPr>
              <w:ind w:firstLine="0" w:firstLineChars="0"/>
              <w:jc w:val="both"/>
              <w:rPr>
                <w:rStyle w:val="57"/>
                <w:rFonts w:hint="default" w:ascii="Times New Roman" w:hAnsi="Times New Roman" w:eastAsia="宋体" w:cs="Times New Roman"/>
                <w:color w:val="auto"/>
                <w:sz w:val="24"/>
                <w:szCs w:val="24"/>
                <w:lang w:bidi="ar"/>
              </w:rPr>
            </w:pPr>
            <w:r>
              <w:rPr>
                <w:rStyle w:val="57"/>
                <w:rFonts w:hint="default" w:ascii="Times New Roman" w:hAnsi="Times New Roman" w:eastAsia="宋体" w:cs="Times New Roman"/>
                <w:color w:val="auto"/>
                <w:sz w:val="24"/>
                <w:szCs w:val="24"/>
                <w:lang w:bidi="ar"/>
              </w:rPr>
              <w:t>Luscinia svecica</w:t>
            </w:r>
          </w:p>
        </w:tc>
        <w:tc>
          <w:tcPr>
            <w:tcW w:w="978" w:type="dxa"/>
            <w:shd w:val="clear" w:color="auto" w:fill="auto"/>
            <w:vAlign w:val="center"/>
          </w:tcPr>
          <w:p w14:paraId="4D6539AA">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二级</w:t>
            </w:r>
          </w:p>
        </w:tc>
        <w:tc>
          <w:tcPr>
            <w:tcW w:w="1580" w:type="dxa"/>
            <w:shd w:val="clear" w:color="auto" w:fill="auto"/>
            <w:vAlign w:val="center"/>
          </w:tcPr>
          <w:p w14:paraId="004B56A8">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无危（LC）</w:t>
            </w:r>
          </w:p>
        </w:tc>
        <w:tc>
          <w:tcPr>
            <w:tcW w:w="1325" w:type="dxa"/>
            <w:shd w:val="clear" w:color="auto" w:fill="auto"/>
            <w:vAlign w:val="center"/>
          </w:tcPr>
          <w:p w14:paraId="1FB49CA8">
            <w:pPr>
              <w:ind w:firstLine="0" w:firstLineChars="0"/>
              <w:jc w:val="center"/>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否</w:t>
            </w:r>
          </w:p>
        </w:tc>
      </w:tr>
    </w:tbl>
    <w:p w14:paraId="7D281C8B">
      <w:pPr>
        <w:pStyle w:val="7"/>
        <w:spacing w:before="312" w:beforeLines="100"/>
        <w:ind w:firstLine="640"/>
        <w:jc w:val="both"/>
        <w:rPr>
          <w:rFonts w:hint="default" w:ascii="Times New Roman" w:hAnsi="Times New Roman" w:cs="Times New Roman"/>
          <w:b w:val="0"/>
          <w:bCs w:val="0"/>
          <w:color w:val="auto"/>
        </w:rPr>
      </w:pPr>
      <w:r>
        <w:rPr>
          <w:rFonts w:hint="default" w:ascii="Times New Roman" w:hAnsi="Times New Roman" w:cs="Times New Roman"/>
          <w:b w:val="0"/>
          <w:bCs w:val="0"/>
          <w:color w:val="auto"/>
        </w:rPr>
        <w:t>4.爬行类</w:t>
      </w:r>
    </w:p>
    <w:p w14:paraId="40893A80">
      <w:pPr>
        <w:ind w:firstLine="640"/>
        <w:jc w:val="both"/>
        <w:rPr>
          <w:rFonts w:hint="default" w:ascii="Times New Roman" w:hAnsi="Times New Roman" w:cs="Times New Roman"/>
          <w:color w:val="auto"/>
        </w:rPr>
      </w:pPr>
      <w:r>
        <w:rPr>
          <w:rFonts w:hint="default" w:ascii="Times New Roman" w:hAnsi="Times New Roman" w:cs="Times New Roman"/>
          <w:color w:val="auto"/>
        </w:rPr>
        <w:t>武汉市爬行类优先保护物种共计7种，分别为龟鳖目的黄缘闭壳龟（</w:t>
      </w:r>
      <w:r>
        <w:rPr>
          <w:rFonts w:hint="default" w:ascii="Times New Roman" w:hAnsi="Times New Roman" w:cs="Times New Roman"/>
          <w:i/>
          <w:iCs/>
          <w:color w:val="auto"/>
        </w:rPr>
        <w:t>Cuora flavomarginata</w:t>
      </w:r>
      <w:r>
        <w:rPr>
          <w:rFonts w:hint="default" w:ascii="Times New Roman" w:hAnsi="Times New Roman" w:cs="Times New Roman"/>
          <w:color w:val="auto"/>
        </w:rPr>
        <w:t>）、乌龟（</w:t>
      </w:r>
      <w:r>
        <w:rPr>
          <w:rFonts w:hint="default" w:ascii="Times New Roman" w:hAnsi="Times New Roman" w:cs="Times New Roman"/>
          <w:i/>
          <w:iCs/>
          <w:color w:val="auto"/>
        </w:rPr>
        <w:t>Mauremys reevesii</w:t>
      </w:r>
      <w:r>
        <w:rPr>
          <w:rFonts w:hint="default" w:ascii="Times New Roman" w:hAnsi="Times New Roman" w:cs="Times New Roman"/>
          <w:color w:val="auto"/>
        </w:rPr>
        <w:t>）、中华鳖（</w:t>
      </w:r>
      <w:r>
        <w:rPr>
          <w:rFonts w:hint="default" w:ascii="Times New Roman" w:hAnsi="Times New Roman" w:cs="Times New Roman"/>
          <w:i/>
          <w:iCs/>
          <w:color w:val="auto"/>
        </w:rPr>
        <w:t>Trionyx Sinensis</w:t>
      </w:r>
      <w:r>
        <w:rPr>
          <w:rFonts w:hint="default" w:ascii="Times New Roman" w:hAnsi="Times New Roman" w:cs="Times New Roman"/>
          <w:color w:val="auto"/>
        </w:rPr>
        <w:t>），以及有鳞目的王锦蛇（</w:t>
      </w:r>
      <w:r>
        <w:rPr>
          <w:rFonts w:hint="default" w:ascii="Times New Roman" w:hAnsi="Times New Roman" w:cs="Times New Roman"/>
          <w:i/>
          <w:iCs/>
          <w:color w:val="auto"/>
        </w:rPr>
        <w:t>Elaphe carinata</w:t>
      </w:r>
      <w:r>
        <w:rPr>
          <w:rFonts w:hint="default" w:ascii="Times New Roman" w:hAnsi="Times New Roman" w:cs="Times New Roman"/>
          <w:color w:val="auto"/>
        </w:rPr>
        <w:t>）、滑鼠蛇（</w:t>
      </w:r>
      <w:r>
        <w:rPr>
          <w:rFonts w:hint="default" w:ascii="Times New Roman" w:hAnsi="Times New Roman" w:cs="Times New Roman"/>
          <w:i/>
          <w:iCs/>
          <w:color w:val="auto"/>
        </w:rPr>
        <w:t>Ptyas mucosa</w:t>
      </w:r>
      <w:r>
        <w:rPr>
          <w:rFonts w:hint="default" w:ascii="Times New Roman" w:hAnsi="Times New Roman" w:cs="Times New Roman"/>
          <w:color w:val="auto"/>
        </w:rPr>
        <w:t>）、乌梢蛇（</w:t>
      </w:r>
      <w:r>
        <w:rPr>
          <w:rFonts w:hint="default" w:ascii="Times New Roman" w:hAnsi="Times New Roman" w:cs="Times New Roman"/>
          <w:i/>
          <w:iCs/>
          <w:color w:val="auto"/>
        </w:rPr>
        <w:t>Ptyas dhumnades</w:t>
      </w:r>
      <w:r>
        <w:rPr>
          <w:rFonts w:hint="default" w:ascii="Times New Roman" w:hAnsi="Times New Roman" w:cs="Times New Roman"/>
          <w:color w:val="auto"/>
        </w:rPr>
        <w:t>）、黑眉锦蛇（</w:t>
      </w:r>
      <w:r>
        <w:rPr>
          <w:rFonts w:hint="default" w:ascii="Times New Roman" w:hAnsi="Times New Roman" w:cs="Times New Roman"/>
          <w:i/>
          <w:iCs/>
          <w:color w:val="auto"/>
        </w:rPr>
        <w:t>Elaphe taeniura</w:t>
      </w:r>
      <w:r>
        <w:rPr>
          <w:rFonts w:hint="default" w:ascii="Times New Roman" w:hAnsi="Times New Roman" w:cs="Times New Roman"/>
          <w:color w:val="auto"/>
        </w:rPr>
        <w:t>）等。</w:t>
      </w:r>
    </w:p>
    <w:p w14:paraId="61D8C447">
      <w:pPr>
        <w:ind w:firstLine="640"/>
        <w:jc w:val="both"/>
        <w:rPr>
          <w:rFonts w:hint="default" w:ascii="Times New Roman" w:hAnsi="Times New Roman" w:cs="Times New Roman"/>
          <w:color w:val="auto"/>
        </w:rPr>
      </w:pPr>
      <w:r>
        <w:rPr>
          <w:rFonts w:hint="default" w:ascii="Times New Roman" w:hAnsi="Times New Roman" w:cs="Times New Roman"/>
          <w:color w:val="auto"/>
        </w:rPr>
        <w:t>其中，黄缘闭壳龟为国家二级重点保护野生动物，红色名录中被列为极危物种，其分布区域狭窄，常栖息于丘陵山地丛林、灌木之中的阴暗地；乌龟的野外种群为国家二级重点保护野生物种，与中华鳖在红色名录中均被列为濒危物种。龟鳖类爬行动物长期受到非法商业捕捉、栖息地破坏、外来物种入侵的影响，其在野外调查过程中难以记录。</w:t>
      </w:r>
    </w:p>
    <w:p w14:paraId="2C7BAB17">
      <w:pPr>
        <w:ind w:firstLine="640"/>
        <w:jc w:val="both"/>
        <w:rPr>
          <w:rFonts w:hint="default" w:ascii="Times New Roman" w:hAnsi="Times New Roman" w:cs="Times New Roman"/>
          <w:color w:val="auto"/>
        </w:rPr>
      </w:pPr>
      <w:r>
        <w:rPr>
          <w:rFonts w:hint="default" w:ascii="Times New Roman" w:hAnsi="Times New Roman" w:cs="Times New Roman"/>
          <w:color w:val="auto"/>
        </w:rPr>
        <w:t>王锦蛇、滑鼠蛇、乌梢蛇、黑眉锦蛇等其他爬行动物虽然在武汉市全境广泛分布，但由于其经济价值和食用价值高，常遭到人类的过度捕捉。目前，武汉市爬行类主要受到景区开发、道路建设、非法捕捉等人为活动干扰，栖息地受到破坏，导致种群数量下降。</w:t>
      </w:r>
    </w:p>
    <w:p w14:paraId="6FEDDF5A">
      <w:pPr>
        <w:spacing w:before="156" w:beforeLines="50"/>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表4-4 爬行类优先保护物种名录</w:t>
      </w:r>
    </w:p>
    <w:tbl>
      <w:tblPr>
        <w:tblStyle w:val="27"/>
        <w:tblW w:w="8461" w:type="dxa"/>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75"/>
        <w:gridCol w:w="2827"/>
        <w:gridCol w:w="1206"/>
        <w:gridCol w:w="1552"/>
        <w:gridCol w:w="1201"/>
      </w:tblGrid>
      <w:tr w14:paraId="08982EF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675" w:type="dxa"/>
            <w:tcBorders>
              <w:top w:val="single" w:color="auto" w:sz="8" w:space="0"/>
              <w:bottom w:val="single" w:color="auto" w:sz="4" w:space="0"/>
            </w:tcBorders>
            <w:shd w:val="clear" w:color="auto" w:fill="auto"/>
            <w:vAlign w:val="center"/>
          </w:tcPr>
          <w:p w14:paraId="1E75BFBD">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物种中文名</w:t>
            </w:r>
          </w:p>
        </w:tc>
        <w:tc>
          <w:tcPr>
            <w:tcW w:w="2827" w:type="dxa"/>
            <w:tcBorders>
              <w:top w:val="single" w:color="auto" w:sz="8" w:space="0"/>
              <w:bottom w:val="single" w:color="auto" w:sz="4" w:space="0"/>
            </w:tcBorders>
            <w:shd w:val="clear" w:color="auto" w:fill="auto"/>
            <w:vAlign w:val="center"/>
          </w:tcPr>
          <w:p w14:paraId="6304687F">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物种学名</w:t>
            </w:r>
          </w:p>
        </w:tc>
        <w:tc>
          <w:tcPr>
            <w:tcW w:w="1206" w:type="dxa"/>
            <w:tcBorders>
              <w:top w:val="single" w:color="auto" w:sz="8" w:space="0"/>
              <w:bottom w:val="single" w:color="auto" w:sz="4" w:space="0"/>
            </w:tcBorders>
            <w:shd w:val="clear" w:color="auto" w:fill="auto"/>
            <w:vAlign w:val="center"/>
          </w:tcPr>
          <w:p w14:paraId="1BA728AE">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保护等级</w:t>
            </w:r>
          </w:p>
        </w:tc>
        <w:tc>
          <w:tcPr>
            <w:tcW w:w="1552" w:type="dxa"/>
            <w:tcBorders>
              <w:top w:val="single" w:color="auto" w:sz="8" w:space="0"/>
              <w:bottom w:val="single" w:color="auto" w:sz="4" w:space="0"/>
            </w:tcBorders>
            <w:shd w:val="clear" w:color="auto" w:fill="auto"/>
            <w:vAlign w:val="center"/>
          </w:tcPr>
          <w:p w14:paraId="4B63412D">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濒危等级</w:t>
            </w:r>
          </w:p>
        </w:tc>
        <w:tc>
          <w:tcPr>
            <w:tcW w:w="1201" w:type="dxa"/>
            <w:tcBorders>
              <w:top w:val="single" w:color="auto" w:sz="8" w:space="0"/>
              <w:bottom w:val="single" w:color="auto" w:sz="4" w:space="0"/>
            </w:tcBorders>
            <w:shd w:val="clear" w:color="auto" w:fill="auto"/>
            <w:vAlign w:val="center"/>
          </w:tcPr>
          <w:p w14:paraId="7DC19A5D">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是否中国</w:t>
            </w:r>
          </w:p>
          <w:p w14:paraId="42406541">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特有种</w:t>
            </w:r>
          </w:p>
        </w:tc>
      </w:tr>
      <w:tr w14:paraId="73F4EAD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675" w:type="dxa"/>
            <w:tcBorders>
              <w:top w:val="single" w:color="auto" w:sz="4" w:space="0"/>
              <w:bottom w:val="nil"/>
            </w:tcBorders>
            <w:shd w:val="clear" w:color="auto" w:fill="auto"/>
            <w:vAlign w:val="center"/>
          </w:tcPr>
          <w:p w14:paraId="246C024F">
            <w:pPr>
              <w:ind w:firstLine="0" w:firstLineChars="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黄缘闭壳龟</w:t>
            </w:r>
          </w:p>
        </w:tc>
        <w:tc>
          <w:tcPr>
            <w:tcW w:w="2827" w:type="dxa"/>
            <w:tcBorders>
              <w:top w:val="single" w:color="auto" w:sz="4" w:space="0"/>
              <w:bottom w:val="nil"/>
            </w:tcBorders>
            <w:shd w:val="clear" w:color="auto" w:fill="auto"/>
            <w:vAlign w:val="center"/>
          </w:tcPr>
          <w:p w14:paraId="3DD1C4A3">
            <w:pPr>
              <w:ind w:firstLine="0" w:firstLineChars="0"/>
              <w:jc w:val="both"/>
              <w:rPr>
                <w:rFonts w:hint="default" w:ascii="Times New Roman" w:hAnsi="Times New Roman" w:eastAsia="宋体" w:cs="Times New Roman"/>
                <w:i/>
                <w:iCs/>
                <w:color w:val="auto"/>
                <w:kern w:val="0"/>
                <w:sz w:val="24"/>
                <w:szCs w:val="24"/>
              </w:rPr>
            </w:pPr>
            <w:r>
              <w:rPr>
                <w:rFonts w:hint="default" w:ascii="Times New Roman" w:hAnsi="Times New Roman" w:eastAsia="宋体" w:cs="Times New Roman"/>
                <w:i/>
                <w:iCs/>
                <w:color w:val="auto"/>
                <w:sz w:val="24"/>
                <w:szCs w:val="24"/>
              </w:rPr>
              <w:t>Cuora flavomarginata</w:t>
            </w:r>
          </w:p>
        </w:tc>
        <w:tc>
          <w:tcPr>
            <w:tcW w:w="1206" w:type="dxa"/>
            <w:tcBorders>
              <w:top w:val="single" w:color="auto" w:sz="4" w:space="0"/>
              <w:bottom w:val="nil"/>
            </w:tcBorders>
            <w:shd w:val="clear" w:color="auto" w:fill="auto"/>
            <w:vAlign w:val="center"/>
          </w:tcPr>
          <w:p w14:paraId="3253F683">
            <w:pPr>
              <w:ind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二级</w:t>
            </w:r>
          </w:p>
        </w:tc>
        <w:tc>
          <w:tcPr>
            <w:tcW w:w="1552" w:type="dxa"/>
            <w:tcBorders>
              <w:top w:val="single" w:color="auto" w:sz="4" w:space="0"/>
              <w:bottom w:val="nil"/>
            </w:tcBorders>
            <w:shd w:val="clear" w:color="auto" w:fill="auto"/>
            <w:vAlign w:val="center"/>
          </w:tcPr>
          <w:p w14:paraId="7688C3BF">
            <w:pPr>
              <w:ind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极危（CR）</w:t>
            </w:r>
          </w:p>
        </w:tc>
        <w:tc>
          <w:tcPr>
            <w:tcW w:w="1201" w:type="dxa"/>
            <w:tcBorders>
              <w:top w:val="single" w:color="auto" w:sz="4" w:space="0"/>
              <w:bottom w:val="nil"/>
            </w:tcBorders>
            <w:shd w:val="clear" w:color="auto" w:fill="auto"/>
            <w:vAlign w:val="center"/>
          </w:tcPr>
          <w:p w14:paraId="16C2917D">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6032B86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675" w:type="dxa"/>
            <w:tcBorders>
              <w:top w:val="nil"/>
              <w:bottom w:val="nil"/>
            </w:tcBorders>
            <w:shd w:val="clear" w:color="auto" w:fill="auto"/>
            <w:vAlign w:val="center"/>
          </w:tcPr>
          <w:p w14:paraId="53043EAD">
            <w:pPr>
              <w:ind w:firstLine="0" w:firstLineChars="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乌龟</w:t>
            </w:r>
          </w:p>
        </w:tc>
        <w:tc>
          <w:tcPr>
            <w:tcW w:w="2827" w:type="dxa"/>
            <w:tcBorders>
              <w:top w:val="nil"/>
              <w:bottom w:val="nil"/>
            </w:tcBorders>
            <w:shd w:val="clear" w:color="auto" w:fill="auto"/>
            <w:vAlign w:val="center"/>
          </w:tcPr>
          <w:p w14:paraId="74E08B69">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rPr>
              <w:t>Mauremys reevesii</w:t>
            </w:r>
          </w:p>
        </w:tc>
        <w:tc>
          <w:tcPr>
            <w:tcW w:w="1206" w:type="dxa"/>
            <w:tcBorders>
              <w:top w:val="nil"/>
              <w:bottom w:val="nil"/>
            </w:tcBorders>
            <w:shd w:val="clear" w:color="auto" w:fill="auto"/>
            <w:vAlign w:val="center"/>
          </w:tcPr>
          <w:p w14:paraId="298CBC61">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二级</w:t>
            </w:r>
          </w:p>
        </w:tc>
        <w:tc>
          <w:tcPr>
            <w:tcW w:w="1552" w:type="dxa"/>
            <w:tcBorders>
              <w:top w:val="nil"/>
              <w:bottom w:val="nil"/>
            </w:tcBorders>
            <w:shd w:val="clear" w:color="auto" w:fill="auto"/>
            <w:vAlign w:val="center"/>
          </w:tcPr>
          <w:p w14:paraId="7E1239FC">
            <w:pPr>
              <w:ind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濒危（EN）</w:t>
            </w:r>
          </w:p>
        </w:tc>
        <w:tc>
          <w:tcPr>
            <w:tcW w:w="1201" w:type="dxa"/>
            <w:tcBorders>
              <w:top w:val="nil"/>
              <w:bottom w:val="nil"/>
            </w:tcBorders>
            <w:shd w:val="clear" w:color="auto" w:fill="auto"/>
            <w:vAlign w:val="center"/>
          </w:tcPr>
          <w:p w14:paraId="11A2DA21">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63B4856B">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675" w:type="dxa"/>
            <w:tcBorders>
              <w:top w:val="nil"/>
              <w:bottom w:val="nil"/>
            </w:tcBorders>
            <w:shd w:val="clear" w:color="auto" w:fill="auto"/>
            <w:vAlign w:val="center"/>
          </w:tcPr>
          <w:p w14:paraId="7F78AFC9">
            <w:pPr>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中华鳖</w:t>
            </w:r>
          </w:p>
        </w:tc>
        <w:tc>
          <w:tcPr>
            <w:tcW w:w="2827" w:type="dxa"/>
            <w:tcBorders>
              <w:top w:val="nil"/>
              <w:bottom w:val="nil"/>
            </w:tcBorders>
            <w:shd w:val="clear" w:color="auto" w:fill="auto"/>
            <w:vAlign w:val="center"/>
          </w:tcPr>
          <w:p w14:paraId="5C5156E3">
            <w:pPr>
              <w:ind w:firstLine="0" w:firstLineChars="0"/>
              <w:jc w:val="both"/>
              <w:rPr>
                <w:rFonts w:hint="default" w:ascii="Times New Roman" w:hAnsi="Times New Roman" w:eastAsia="宋体" w:cs="Times New Roman"/>
                <w:i/>
                <w:iCs/>
                <w:color w:val="auto"/>
                <w:sz w:val="24"/>
                <w:szCs w:val="24"/>
              </w:rPr>
            </w:pPr>
            <w:r>
              <w:rPr>
                <w:rFonts w:hint="default" w:ascii="Times New Roman" w:hAnsi="Times New Roman" w:eastAsia="宋体" w:cs="Times New Roman"/>
                <w:i/>
                <w:iCs/>
                <w:color w:val="auto"/>
                <w:sz w:val="24"/>
                <w:szCs w:val="24"/>
              </w:rPr>
              <w:t>Trionyx Sinensis</w:t>
            </w:r>
          </w:p>
        </w:tc>
        <w:tc>
          <w:tcPr>
            <w:tcW w:w="1206" w:type="dxa"/>
            <w:tcBorders>
              <w:top w:val="nil"/>
              <w:bottom w:val="nil"/>
            </w:tcBorders>
            <w:shd w:val="clear" w:color="auto" w:fill="auto"/>
            <w:vAlign w:val="center"/>
          </w:tcPr>
          <w:p w14:paraId="53C260D5">
            <w:pPr>
              <w:ind w:firstLine="0" w:firstLineChars="0"/>
              <w:jc w:val="center"/>
              <w:rPr>
                <w:rFonts w:hint="default" w:ascii="Times New Roman" w:hAnsi="Times New Roman" w:eastAsia="宋体" w:cs="Times New Roman"/>
                <w:color w:val="auto"/>
                <w:sz w:val="24"/>
                <w:szCs w:val="24"/>
              </w:rPr>
            </w:pPr>
          </w:p>
        </w:tc>
        <w:tc>
          <w:tcPr>
            <w:tcW w:w="1552" w:type="dxa"/>
            <w:tcBorders>
              <w:top w:val="nil"/>
              <w:bottom w:val="nil"/>
            </w:tcBorders>
            <w:shd w:val="clear" w:color="auto" w:fill="auto"/>
            <w:vAlign w:val="center"/>
          </w:tcPr>
          <w:p w14:paraId="0B3801F7">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濒危（EN）</w:t>
            </w:r>
          </w:p>
        </w:tc>
        <w:tc>
          <w:tcPr>
            <w:tcW w:w="1201" w:type="dxa"/>
            <w:tcBorders>
              <w:top w:val="nil"/>
              <w:bottom w:val="nil"/>
            </w:tcBorders>
            <w:shd w:val="clear" w:color="auto" w:fill="auto"/>
            <w:vAlign w:val="center"/>
          </w:tcPr>
          <w:p w14:paraId="10F15E31">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548AA1C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675" w:type="dxa"/>
            <w:tcBorders>
              <w:top w:val="nil"/>
              <w:bottom w:val="nil"/>
            </w:tcBorders>
            <w:shd w:val="clear" w:color="auto" w:fill="auto"/>
            <w:vAlign w:val="center"/>
          </w:tcPr>
          <w:p w14:paraId="4188C92E">
            <w:pPr>
              <w:ind w:firstLine="0" w:firstLineChars="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王锦蛇</w:t>
            </w:r>
          </w:p>
        </w:tc>
        <w:tc>
          <w:tcPr>
            <w:tcW w:w="2827" w:type="dxa"/>
            <w:tcBorders>
              <w:top w:val="nil"/>
              <w:bottom w:val="nil"/>
            </w:tcBorders>
            <w:shd w:val="clear" w:color="auto" w:fill="auto"/>
            <w:vAlign w:val="center"/>
          </w:tcPr>
          <w:p w14:paraId="66136601">
            <w:pPr>
              <w:ind w:firstLine="0" w:firstLineChars="0"/>
              <w:jc w:val="both"/>
              <w:rPr>
                <w:rFonts w:hint="default" w:ascii="Times New Roman" w:hAnsi="Times New Roman" w:eastAsia="宋体" w:cs="Times New Roman"/>
                <w:i/>
                <w:iCs/>
                <w:color w:val="auto"/>
                <w:kern w:val="0"/>
                <w:sz w:val="24"/>
                <w:szCs w:val="24"/>
              </w:rPr>
            </w:pPr>
            <w:r>
              <w:rPr>
                <w:rFonts w:hint="default" w:ascii="Times New Roman" w:hAnsi="Times New Roman" w:eastAsia="宋体" w:cs="Times New Roman"/>
                <w:i/>
                <w:iCs/>
                <w:color w:val="auto"/>
                <w:sz w:val="24"/>
                <w:szCs w:val="24"/>
              </w:rPr>
              <w:t>Elaphe carinata</w:t>
            </w:r>
          </w:p>
        </w:tc>
        <w:tc>
          <w:tcPr>
            <w:tcW w:w="1206" w:type="dxa"/>
            <w:tcBorders>
              <w:top w:val="nil"/>
              <w:bottom w:val="nil"/>
            </w:tcBorders>
            <w:shd w:val="clear" w:color="auto" w:fill="auto"/>
            <w:vAlign w:val="center"/>
          </w:tcPr>
          <w:p w14:paraId="05EE12C7">
            <w:pPr>
              <w:ind w:firstLine="0" w:firstLineChars="0"/>
              <w:jc w:val="center"/>
              <w:rPr>
                <w:rFonts w:hint="default" w:ascii="Times New Roman" w:hAnsi="Times New Roman" w:eastAsia="宋体" w:cs="Times New Roman"/>
                <w:color w:val="auto"/>
                <w:sz w:val="24"/>
                <w:szCs w:val="24"/>
              </w:rPr>
            </w:pPr>
          </w:p>
        </w:tc>
        <w:tc>
          <w:tcPr>
            <w:tcW w:w="1552" w:type="dxa"/>
            <w:tcBorders>
              <w:top w:val="nil"/>
              <w:bottom w:val="nil"/>
            </w:tcBorders>
            <w:shd w:val="clear" w:color="auto" w:fill="auto"/>
            <w:vAlign w:val="center"/>
          </w:tcPr>
          <w:p w14:paraId="51BDCD98">
            <w:pPr>
              <w:ind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易危（VU）</w:t>
            </w:r>
          </w:p>
        </w:tc>
        <w:tc>
          <w:tcPr>
            <w:tcW w:w="1201" w:type="dxa"/>
            <w:tcBorders>
              <w:top w:val="nil"/>
              <w:bottom w:val="nil"/>
            </w:tcBorders>
            <w:shd w:val="clear" w:color="auto" w:fill="auto"/>
            <w:vAlign w:val="center"/>
          </w:tcPr>
          <w:p w14:paraId="1281684F">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185BA13E">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675" w:type="dxa"/>
            <w:tcBorders>
              <w:top w:val="nil"/>
              <w:bottom w:val="nil"/>
            </w:tcBorders>
            <w:shd w:val="clear" w:color="auto" w:fill="auto"/>
            <w:vAlign w:val="center"/>
          </w:tcPr>
          <w:p w14:paraId="0BA0EDF4">
            <w:pPr>
              <w:ind w:firstLine="0" w:firstLineChars="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滑鼠蛇</w:t>
            </w:r>
          </w:p>
        </w:tc>
        <w:tc>
          <w:tcPr>
            <w:tcW w:w="2827" w:type="dxa"/>
            <w:tcBorders>
              <w:top w:val="nil"/>
              <w:bottom w:val="nil"/>
            </w:tcBorders>
            <w:shd w:val="clear" w:color="auto" w:fill="auto"/>
            <w:vAlign w:val="center"/>
          </w:tcPr>
          <w:p w14:paraId="09BCA7B5">
            <w:pPr>
              <w:ind w:firstLine="0" w:firstLineChars="0"/>
              <w:jc w:val="both"/>
              <w:rPr>
                <w:rFonts w:hint="default" w:ascii="Times New Roman" w:hAnsi="Times New Roman" w:eastAsia="宋体" w:cs="Times New Roman"/>
                <w:i/>
                <w:iCs/>
                <w:color w:val="auto"/>
                <w:kern w:val="0"/>
                <w:sz w:val="24"/>
                <w:szCs w:val="24"/>
              </w:rPr>
            </w:pPr>
            <w:r>
              <w:rPr>
                <w:rFonts w:hint="default" w:ascii="Times New Roman" w:hAnsi="Times New Roman" w:eastAsia="宋体" w:cs="Times New Roman"/>
                <w:i/>
                <w:iCs/>
                <w:color w:val="auto"/>
                <w:sz w:val="24"/>
                <w:szCs w:val="24"/>
              </w:rPr>
              <w:t>Ptyas mucosa</w:t>
            </w:r>
          </w:p>
        </w:tc>
        <w:tc>
          <w:tcPr>
            <w:tcW w:w="1206" w:type="dxa"/>
            <w:tcBorders>
              <w:top w:val="nil"/>
              <w:bottom w:val="nil"/>
            </w:tcBorders>
            <w:shd w:val="clear" w:color="auto" w:fill="auto"/>
            <w:vAlign w:val="center"/>
          </w:tcPr>
          <w:p w14:paraId="5D1347CF">
            <w:pPr>
              <w:ind w:firstLine="0" w:firstLineChars="0"/>
              <w:jc w:val="center"/>
              <w:rPr>
                <w:rFonts w:hint="default" w:ascii="Times New Roman" w:hAnsi="Times New Roman" w:eastAsia="宋体" w:cs="Times New Roman"/>
                <w:color w:val="auto"/>
                <w:sz w:val="24"/>
                <w:szCs w:val="24"/>
              </w:rPr>
            </w:pPr>
          </w:p>
        </w:tc>
        <w:tc>
          <w:tcPr>
            <w:tcW w:w="1552" w:type="dxa"/>
            <w:tcBorders>
              <w:top w:val="nil"/>
              <w:bottom w:val="nil"/>
            </w:tcBorders>
            <w:shd w:val="clear" w:color="auto" w:fill="auto"/>
            <w:vAlign w:val="center"/>
          </w:tcPr>
          <w:p w14:paraId="4F859390">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濒危（EN）</w:t>
            </w:r>
          </w:p>
        </w:tc>
        <w:tc>
          <w:tcPr>
            <w:tcW w:w="1201" w:type="dxa"/>
            <w:tcBorders>
              <w:top w:val="nil"/>
              <w:bottom w:val="nil"/>
            </w:tcBorders>
            <w:shd w:val="clear" w:color="auto" w:fill="auto"/>
            <w:vAlign w:val="center"/>
          </w:tcPr>
          <w:p w14:paraId="42694FDE">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685E9194">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675" w:type="dxa"/>
            <w:tcBorders>
              <w:top w:val="nil"/>
              <w:bottom w:val="nil"/>
            </w:tcBorders>
            <w:shd w:val="clear" w:color="auto" w:fill="auto"/>
            <w:vAlign w:val="center"/>
          </w:tcPr>
          <w:p w14:paraId="6FBEEE7B">
            <w:pPr>
              <w:ind w:firstLine="0" w:firstLineChars="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乌梢蛇</w:t>
            </w:r>
          </w:p>
        </w:tc>
        <w:tc>
          <w:tcPr>
            <w:tcW w:w="2827" w:type="dxa"/>
            <w:tcBorders>
              <w:top w:val="nil"/>
              <w:bottom w:val="nil"/>
            </w:tcBorders>
            <w:shd w:val="clear" w:color="auto" w:fill="auto"/>
            <w:vAlign w:val="center"/>
          </w:tcPr>
          <w:p w14:paraId="40CE1CB7">
            <w:pPr>
              <w:ind w:firstLine="0" w:firstLineChars="0"/>
              <w:jc w:val="both"/>
              <w:rPr>
                <w:rFonts w:hint="default" w:ascii="Times New Roman" w:hAnsi="Times New Roman" w:eastAsia="宋体" w:cs="Times New Roman"/>
                <w:i/>
                <w:iCs/>
                <w:color w:val="auto"/>
                <w:kern w:val="0"/>
                <w:sz w:val="24"/>
                <w:szCs w:val="24"/>
              </w:rPr>
            </w:pPr>
            <w:r>
              <w:rPr>
                <w:rFonts w:hint="default" w:ascii="Times New Roman" w:hAnsi="Times New Roman" w:eastAsia="宋体" w:cs="Times New Roman"/>
                <w:i/>
                <w:iCs/>
                <w:color w:val="auto"/>
                <w:sz w:val="24"/>
                <w:szCs w:val="24"/>
              </w:rPr>
              <w:t>Ptyas dhumnades</w:t>
            </w:r>
          </w:p>
        </w:tc>
        <w:tc>
          <w:tcPr>
            <w:tcW w:w="1206" w:type="dxa"/>
            <w:tcBorders>
              <w:top w:val="nil"/>
              <w:bottom w:val="nil"/>
            </w:tcBorders>
            <w:shd w:val="clear" w:color="auto" w:fill="auto"/>
            <w:vAlign w:val="center"/>
          </w:tcPr>
          <w:p w14:paraId="4F6ED93D">
            <w:pPr>
              <w:ind w:firstLine="0" w:firstLineChars="0"/>
              <w:jc w:val="center"/>
              <w:rPr>
                <w:rFonts w:hint="default" w:ascii="Times New Roman" w:hAnsi="Times New Roman" w:eastAsia="宋体" w:cs="Times New Roman"/>
                <w:color w:val="auto"/>
                <w:sz w:val="24"/>
                <w:szCs w:val="24"/>
              </w:rPr>
            </w:pPr>
          </w:p>
        </w:tc>
        <w:tc>
          <w:tcPr>
            <w:tcW w:w="1552" w:type="dxa"/>
            <w:tcBorders>
              <w:top w:val="nil"/>
              <w:bottom w:val="nil"/>
            </w:tcBorders>
            <w:shd w:val="clear" w:color="auto" w:fill="auto"/>
            <w:vAlign w:val="center"/>
          </w:tcPr>
          <w:p w14:paraId="68C71FD8">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易危（VU）</w:t>
            </w:r>
          </w:p>
        </w:tc>
        <w:tc>
          <w:tcPr>
            <w:tcW w:w="1201" w:type="dxa"/>
            <w:tcBorders>
              <w:top w:val="nil"/>
              <w:bottom w:val="nil"/>
            </w:tcBorders>
            <w:shd w:val="clear" w:color="auto" w:fill="auto"/>
            <w:vAlign w:val="center"/>
          </w:tcPr>
          <w:p w14:paraId="75FED67F">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6C9468C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675" w:type="dxa"/>
            <w:tcBorders>
              <w:top w:val="nil"/>
              <w:bottom w:val="single" w:color="auto" w:sz="4" w:space="0"/>
            </w:tcBorders>
            <w:shd w:val="clear" w:color="auto" w:fill="auto"/>
            <w:vAlign w:val="center"/>
          </w:tcPr>
          <w:p w14:paraId="5862D7E7">
            <w:pPr>
              <w:ind w:firstLine="0" w:firstLineChars="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黑眉锦蛇</w:t>
            </w:r>
          </w:p>
        </w:tc>
        <w:tc>
          <w:tcPr>
            <w:tcW w:w="2827" w:type="dxa"/>
            <w:tcBorders>
              <w:top w:val="nil"/>
              <w:bottom w:val="single" w:color="auto" w:sz="4" w:space="0"/>
            </w:tcBorders>
            <w:shd w:val="clear" w:color="auto" w:fill="auto"/>
            <w:vAlign w:val="center"/>
          </w:tcPr>
          <w:p w14:paraId="3631F8D6">
            <w:pPr>
              <w:ind w:firstLine="0" w:firstLineChars="0"/>
              <w:jc w:val="both"/>
              <w:rPr>
                <w:rFonts w:hint="default" w:ascii="Times New Roman" w:hAnsi="Times New Roman" w:eastAsia="宋体" w:cs="Times New Roman"/>
                <w:i/>
                <w:iCs/>
                <w:color w:val="auto"/>
                <w:kern w:val="0"/>
                <w:sz w:val="24"/>
                <w:szCs w:val="24"/>
              </w:rPr>
            </w:pPr>
            <w:r>
              <w:rPr>
                <w:rFonts w:hint="default" w:ascii="Times New Roman" w:hAnsi="Times New Roman" w:eastAsia="宋体" w:cs="Times New Roman"/>
                <w:i/>
                <w:iCs/>
                <w:color w:val="auto"/>
                <w:sz w:val="24"/>
                <w:szCs w:val="24"/>
              </w:rPr>
              <w:t>Elaphe taeniura</w:t>
            </w:r>
          </w:p>
        </w:tc>
        <w:tc>
          <w:tcPr>
            <w:tcW w:w="1206" w:type="dxa"/>
            <w:tcBorders>
              <w:top w:val="nil"/>
              <w:bottom w:val="single" w:color="auto" w:sz="4" w:space="0"/>
            </w:tcBorders>
            <w:shd w:val="clear" w:color="auto" w:fill="auto"/>
            <w:vAlign w:val="center"/>
          </w:tcPr>
          <w:p w14:paraId="20BE271B">
            <w:pPr>
              <w:ind w:firstLine="0" w:firstLineChars="0"/>
              <w:jc w:val="center"/>
              <w:rPr>
                <w:rFonts w:hint="default" w:ascii="Times New Roman" w:hAnsi="Times New Roman" w:eastAsia="宋体" w:cs="Times New Roman"/>
                <w:color w:val="auto"/>
                <w:sz w:val="24"/>
                <w:szCs w:val="24"/>
              </w:rPr>
            </w:pPr>
          </w:p>
        </w:tc>
        <w:tc>
          <w:tcPr>
            <w:tcW w:w="1552" w:type="dxa"/>
            <w:tcBorders>
              <w:top w:val="nil"/>
              <w:bottom w:val="single" w:color="auto" w:sz="4" w:space="0"/>
            </w:tcBorders>
            <w:shd w:val="clear" w:color="auto" w:fill="auto"/>
            <w:vAlign w:val="center"/>
          </w:tcPr>
          <w:p w14:paraId="23E5F4C4">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易危（VU）</w:t>
            </w:r>
          </w:p>
        </w:tc>
        <w:tc>
          <w:tcPr>
            <w:tcW w:w="1201" w:type="dxa"/>
            <w:tcBorders>
              <w:top w:val="nil"/>
              <w:bottom w:val="single" w:color="auto" w:sz="4" w:space="0"/>
            </w:tcBorders>
            <w:shd w:val="clear" w:color="auto" w:fill="auto"/>
            <w:vAlign w:val="center"/>
          </w:tcPr>
          <w:p w14:paraId="013D74F4">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bl>
    <w:p w14:paraId="03C56EDB">
      <w:pPr>
        <w:pStyle w:val="7"/>
        <w:spacing w:before="312" w:beforeLines="100"/>
        <w:ind w:firstLine="640"/>
        <w:jc w:val="both"/>
        <w:rPr>
          <w:rFonts w:hint="default" w:ascii="Times New Roman" w:hAnsi="Times New Roman" w:cs="Times New Roman"/>
          <w:b w:val="0"/>
          <w:bCs w:val="0"/>
          <w:color w:val="auto"/>
        </w:rPr>
      </w:pPr>
      <w:bookmarkStart w:id="155" w:name="_Toc147668078"/>
      <w:bookmarkStart w:id="156" w:name="_Toc16087"/>
      <w:bookmarkStart w:id="157" w:name="_Toc18422"/>
      <w:r>
        <w:rPr>
          <w:rFonts w:hint="default" w:ascii="Times New Roman" w:hAnsi="Times New Roman" w:cs="Times New Roman"/>
          <w:b w:val="0"/>
          <w:bCs w:val="0"/>
          <w:color w:val="auto"/>
        </w:rPr>
        <w:t>5.两栖类</w:t>
      </w:r>
      <w:bookmarkEnd w:id="155"/>
      <w:bookmarkEnd w:id="156"/>
      <w:bookmarkEnd w:id="157"/>
    </w:p>
    <w:p w14:paraId="264411E3">
      <w:pPr>
        <w:ind w:firstLine="640"/>
        <w:jc w:val="both"/>
        <w:rPr>
          <w:rFonts w:hint="default" w:ascii="Times New Roman" w:hAnsi="Times New Roman" w:cs="Times New Roman"/>
          <w:color w:val="auto"/>
        </w:rPr>
      </w:pPr>
      <w:r>
        <w:rPr>
          <w:rFonts w:hint="default" w:ascii="Times New Roman" w:hAnsi="Times New Roman" w:cs="Times New Roman"/>
          <w:color w:val="auto"/>
        </w:rPr>
        <w:t>武汉市两栖类优先保护物种包括虎纹蛙（</w:t>
      </w:r>
      <w:r>
        <w:rPr>
          <w:rFonts w:hint="default" w:ascii="Times New Roman" w:hAnsi="Times New Roman" w:cs="Times New Roman"/>
          <w:i/>
          <w:iCs/>
          <w:color w:val="auto"/>
        </w:rPr>
        <w:t>Hoplobatrachus chinensis</w:t>
      </w:r>
      <w:r>
        <w:rPr>
          <w:rFonts w:hint="default" w:ascii="Times New Roman" w:hAnsi="Times New Roman" w:cs="Times New Roman"/>
          <w:color w:val="auto"/>
        </w:rPr>
        <w:t>）、黑斑侧褶蛙（</w:t>
      </w:r>
      <w:r>
        <w:rPr>
          <w:rFonts w:hint="default" w:ascii="Times New Roman" w:hAnsi="Times New Roman" w:cs="Times New Roman"/>
          <w:i/>
          <w:iCs/>
          <w:color w:val="auto"/>
        </w:rPr>
        <w:t>Pelophylax nigromaculatus</w:t>
      </w:r>
      <w:r>
        <w:rPr>
          <w:rFonts w:hint="default" w:ascii="Times New Roman" w:hAnsi="Times New Roman" w:cs="Times New Roman"/>
          <w:color w:val="auto"/>
        </w:rPr>
        <w:t>）、湖北侧褶蛙（</w:t>
      </w:r>
      <w:r>
        <w:rPr>
          <w:rFonts w:hint="default" w:ascii="Times New Roman" w:hAnsi="Times New Roman" w:cs="Times New Roman"/>
          <w:i/>
          <w:iCs/>
          <w:color w:val="auto"/>
        </w:rPr>
        <w:t>Pelophylax hubeiensis</w:t>
      </w:r>
      <w:r>
        <w:rPr>
          <w:rFonts w:hint="default" w:ascii="Times New Roman" w:hAnsi="Times New Roman" w:cs="Times New Roman"/>
          <w:color w:val="auto"/>
        </w:rPr>
        <w:t>）和东方蝾螈（</w:t>
      </w:r>
      <w:r>
        <w:rPr>
          <w:rFonts w:hint="default" w:ascii="Times New Roman" w:hAnsi="Times New Roman" w:cs="Times New Roman"/>
          <w:i/>
          <w:iCs/>
          <w:color w:val="auto"/>
        </w:rPr>
        <w:t>Cynops orientalis</w:t>
      </w:r>
      <w:r>
        <w:rPr>
          <w:rFonts w:hint="default" w:ascii="Times New Roman" w:hAnsi="Times New Roman" w:cs="Times New Roman"/>
          <w:color w:val="auto"/>
        </w:rPr>
        <w:t>）等4种。</w:t>
      </w:r>
    </w:p>
    <w:p w14:paraId="39BA0ABF">
      <w:pPr>
        <w:ind w:firstLine="640"/>
        <w:jc w:val="both"/>
        <w:rPr>
          <w:rFonts w:hint="default" w:ascii="Times New Roman" w:hAnsi="Times New Roman" w:cs="Times New Roman"/>
          <w:color w:val="auto"/>
        </w:rPr>
      </w:pPr>
      <w:r>
        <w:rPr>
          <w:rFonts w:hint="default" w:ascii="Times New Roman" w:hAnsi="Times New Roman" w:cs="Times New Roman"/>
          <w:color w:val="auto"/>
        </w:rPr>
        <w:t>其中，虎纹蛙属于国家二级重点保护野生动物，在红色名录中被列为濒危物种。其广泛分布在武汉各区，主要栖息在静水或缓流水的池塘、沟渠、稻田等浅水水域。由于虎纹蛙对生态环境依赖性强、对环境变迁的适应能力差，受人类活动的影响较大，如不当的轮作制度、化肥农药的过量施用和人为捕捉均会导致虎纹蛙种群数量下降，甚至造成该物种的区域性灭绝。黑斑侧褶蛙在红色名录中被列为近危物种，主要栖息于武汉各区池塘、水田、水沟等静水或流水缓慢的区域。由于环境污染和人为捕捉，黑斑侧褶蛙的种群数量正在急剧减少。湖北侧褶蛙和东方蝾螈皆为我国特有物种，在水草繁多的静水塘和农田中分布较多，但因其对环境的敏感性，也需对二者加以重点保护。</w:t>
      </w:r>
    </w:p>
    <w:p w14:paraId="6C48A340">
      <w:pPr>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表4-5 两栖类优先保护物种名录</w:t>
      </w:r>
    </w:p>
    <w:tbl>
      <w:tblPr>
        <w:tblStyle w:val="27"/>
        <w:tblW w:w="8490" w:type="dxa"/>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82"/>
        <w:gridCol w:w="3454"/>
        <w:gridCol w:w="775"/>
        <w:gridCol w:w="1599"/>
        <w:gridCol w:w="1180"/>
      </w:tblGrid>
      <w:tr w14:paraId="7EDE12F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82" w:type="dxa"/>
            <w:tcBorders>
              <w:top w:val="single" w:color="auto" w:sz="8" w:space="0"/>
              <w:bottom w:val="single" w:color="auto" w:sz="4" w:space="0"/>
            </w:tcBorders>
            <w:shd w:val="clear" w:color="auto" w:fill="auto"/>
            <w:vAlign w:val="center"/>
          </w:tcPr>
          <w:p w14:paraId="47E04255">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物种中文名</w:t>
            </w:r>
          </w:p>
        </w:tc>
        <w:tc>
          <w:tcPr>
            <w:tcW w:w="3454" w:type="dxa"/>
            <w:tcBorders>
              <w:top w:val="single" w:color="auto" w:sz="8" w:space="0"/>
              <w:bottom w:val="single" w:color="auto" w:sz="4" w:space="0"/>
            </w:tcBorders>
            <w:shd w:val="clear" w:color="auto" w:fill="auto"/>
            <w:vAlign w:val="center"/>
          </w:tcPr>
          <w:p w14:paraId="44BC9D56">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物种学名</w:t>
            </w:r>
          </w:p>
        </w:tc>
        <w:tc>
          <w:tcPr>
            <w:tcW w:w="775" w:type="dxa"/>
            <w:tcBorders>
              <w:top w:val="single" w:color="auto" w:sz="8" w:space="0"/>
              <w:bottom w:val="single" w:color="auto" w:sz="4" w:space="0"/>
            </w:tcBorders>
            <w:shd w:val="clear" w:color="auto" w:fill="auto"/>
            <w:vAlign w:val="center"/>
          </w:tcPr>
          <w:p w14:paraId="0C275E07">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保护</w:t>
            </w:r>
          </w:p>
          <w:p w14:paraId="158453C4">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等级</w:t>
            </w:r>
          </w:p>
        </w:tc>
        <w:tc>
          <w:tcPr>
            <w:tcW w:w="1599" w:type="dxa"/>
            <w:tcBorders>
              <w:top w:val="single" w:color="auto" w:sz="8" w:space="0"/>
              <w:bottom w:val="single" w:color="auto" w:sz="4" w:space="0"/>
            </w:tcBorders>
            <w:shd w:val="clear" w:color="auto" w:fill="auto"/>
            <w:vAlign w:val="center"/>
          </w:tcPr>
          <w:p w14:paraId="3B67563C">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濒危等级</w:t>
            </w:r>
          </w:p>
        </w:tc>
        <w:tc>
          <w:tcPr>
            <w:tcW w:w="1180" w:type="dxa"/>
            <w:tcBorders>
              <w:top w:val="single" w:color="auto" w:sz="8" w:space="0"/>
              <w:bottom w:val="single" w:color="auto" w:sz="4" w:space="0"/>
            </w:tcBorders>
            <w:shd w:val="clear" w:color="auto" w:fill="auto"/>
            <w:vAlign w:val="center"/>
          </w:tcPr>
          <w:p w14:paraId="44C4F231">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是否中国</w:t>
            </w:r>
          </w:p>
          <w:p w14:paraId="1652E1D0">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特有种</w:t>
            </w:r>
          </w:p>
        </w:tc>
      </w:tr>
      <w:tr w14:paraId="41FEE24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82" w:type="dxa"/>
            <w:tcBorders>
              <w:top w:val="single" w:color="auto" w:sz="4" w:space="0"/>
              <w:bottom w:val="nil"/>
            </w:tcBorders>
            <w:shd w:val="clear" w:color="auto" w:fill="auto"/>
            <w:vAlign w:val="center"/>
          </w:tcPr>
          <w:p w14:paraId="2BA632A5">
            <w:pPr>
              <w:ind w:firstLine="0" w:firstLineChars="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虎纹蛙</w:t>
            </w:r>
          </w:p>
        </w:tc>
        <w:tc>
          <w:tcPr>
            <w:tcW w:w="3454" w:type="dxa"/>
            <w:tcBorders>
              <w:top w:val="single" w:color="auto" w:sz="4" w:space="0"/>
              <w:bottom w:val="nil"/>
            </w:tcBorders>
            <w:shd w:val="clear" w:color="auto" w:fill="auto"/>
            <w:vAlign w:val="center"/>
          </w:tcPr>
          <w:p w14:paraId="14C39EFA">
            <w:pPr>
              <w:ind w:firstLine="0" w:firstLineChars="0"/>
              <w:jc w:val="both"/>
              <w:rPr>
                <w:rFonts w:hint="default" w:ascii="Times New Roman" w:hAnsi="Times New Roman" w:eastAsia="宋体" w:cs="Times New Roman"/>
                <w:i/>
                <w:iCs/>
                <w:color w:val="auto"/>
                <w:kern w:val="0"/>
                <w:sz w:val="24"/>
                <w:szCs w:val="24"/>
              </w:rPr>
            </w:pPr>
            <w:r>
              <w:rPr>
                <w:rFonts w:hint="default" w:ascii="Times New Roman" w:hAnsi="Times New Roman" w:eastAsia="宋体" w:cs="Times New Roman"/>
                <w:i/>
                <w:iCs/>
                <w:color w:val="auto"/>
                <w:sz w:val="24"/>
                <w:szCs w:val="24"/>
              </w:rPr>
              <w:t>Hoplobatrachus chinensis</w:t>
            </w:r>
          </w:p>
        </w:tc>
        <w:tc>
          <w:tcPr>
            <w:tcW w:w="775" w:type="dxa"/>
            <w:tcBorders>
              <w:top w:val="single" w:color="auto" w:sz="4" w:space="0"/>
              <w:bottom w:val="nil"/>
            </w:tcBorders>
            <w:shd w:val="clear" w:color="auto" w:fill="auto"/>
            <w:vAlign w:val="center"/>
          </w:tcPr>
          <w:p w14:paraId="7CC98A46">
            <w:pPr>
              <w:ind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二级</w:t>
            </w:r>
          </w:p>
        </w:tc>
        <w:tc>
          <w:tcPr>
            <w:tcW w:w="1599" w:type="dxa"/>
            <w:tcBorders>
              <w:top w:val="single" w:color="auto" w:sz="4" w:space="0"/>
              <w:bottom w:val="nil"/>
            </w:tcBorders>
            <w:shd w:val="clear" w:color="auto" w:fill="auto"/>
            <w:vAlign w:val="center"/>
          </w:tcPr>
          <w:p w14:paraId="5D76C9DF">
            <w:pPr>
              <w:ind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濒危（EN）</w:t>
            </w:r>
          </w:p>
        </w:tc>
        <w:tc>
          <w:tcPr>
            <w:tcW w:w="1180" w:type="dxa"/>
            <w:tcBorders>
              <w:top w:val="single" w:color="auto" w:sz="4" w:space="0"/>
              <w:bottom w:val="nil"/>
            </w:tcBorders>
            <w:shd w:val="clear" w:color="auto" w:fill="auto"/>
            <w:vAlign w:val="center"/>
          </w:tcPr>
          <w:p w14:paraId="666428BE">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30D5A7A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82" w:type="dxa"/>
            <w:tcBorders>
              <w:top w:val="nil"/>
              <w:bottom w:val="nil"/>
            </w:tcBorders>
            <w:shd w:val="clear" w:color="auto" w:fill="auto"/>
            <w:vAlign w:val="center"/>
          </w:tcPr>
          <w:p w14:paraId="237DB005">
            <w:pPr>
              <w:ind w:firstLine="0" w:firstLineChars="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黑斑侧褶蛙</w:t>
            </w:r>
          </w:p>
        </w:tc>
        <w:tc>
          <w:tcPr>
            <w:tcW w:w="3454" w:type="dxa"/>
            <w:tcBorders>
              <w:top w:val="nil"/>
              <w:bottom w:val="nil"/>
            </w:tcBorders>
            <w:shd w:val="clear" w:color="auto" w:fill="auto"/>
            <w:vAlign w:val="center"/>
          </w:tcPr>
          <w:p w14:paraId="29AB17BD">
            <w:pPr>
              <w:ind w:firstLine="0" w:firstLineChars="0"/>
              <w:jc w:val="both"/>
              <w:rPr>
                <w:rFonts w:hint="default" w:ascii="Times New Roman" w:hAnsi="Times New Roman" w:eastAsia="宋体" w:cs="Times New Roman"/>
                <w:i/>
                <w:iCs/>
                <w:color w:val="auto"/>
                <w:kern w:val="0"/>
                <w:sz w:val="24"/>
                <w:szCs w:val="24"/>
              </w:rPr>
            </w:pPr>
            <w:r>
              <w:rPr>
                <w:rFonts w:hint="default" w:ascii="Times New Roman" w:hAnsi="Times New Roman" w:eastAsia="宋体" w:cs="Times New Roman"/>
                <w:i/>
                <w:iCs/>
                <w:color w:val="auto"/>
                <w:sz w:val="24"/>
                <w:szCs w:val="24"/>
              </w:rPr>
              <w:t>Pelophylax nigromaculatus</w:t>
            </w:r>
          </w:p>
        </w:tc>
        <w:tc>
          <w:tcPr>
            <w:tcW w:w="775" w:type="dxa"/>
            <w:tcBorders>
              <w:top w:val="nil"/>
              <w:bottom w:val="nil"/>
            </w:tcBorders>
            <w:shd w:val="clear" w:color="auto" w:fill="auto"/>
            <w:vAlign w:val="center"/>
          </w:tcPr>
          <w:p w14:paraId="1758CEBF">
            <w:pPr>
              <w:ind w:firstLine="0" w:firstLineChars="0"/>
              <w:jc w:val="center"/>
              <w:rPr>
                <w:rFonts w:hint="default" w:ascii="Times New Roman" w:hAnsi="Times New Roman" w:eastAsia="宋体" w:cs="Times New Roman"/>
                <w:color w:val="auto"/>
                <w:sz w:val="24"/>
                <w:szCs w:val="24"/>
              </w:rPr>
            </w:pPr>
          </w:p>
        </w:tc>
        <w:tc>
          <w:tcPr>
            <w:tcW w:w="1599" w:type="dxa"/>
            <w:tcBorders>
              <w:top w:val="nil"/>
              <w:bottom w:val="nil"/>
            </w:tcBorders>
            <w:shd w:val="clear" w:color="auto" w:fill="auto"/>
            <w:vAlign w:val="center"/>
          </w:tcPr>
          <w:p w14:paraId="6D015F71">
            <w:pPr>
              <w:ind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近危（NT）</w:t>
            </w:r>
          </w:p>
        </w:tc>
        <w:tc>
          <w:tcPr>
            <w:tcW w:w="1180" w:type="dxa"/>
            <w:tcBorders>
              <w:top w:val="nil"/>
              <w:bottom w:val="nil"/>
            </w:tcBorders>
            <w:shd w:val="clear" w:color="auto" w:fill="auto"/>
            <w:vAlign w:val="center"/>
          </w:tcPr>
          <w:p w14:paraId="70BCF8E0">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271506E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82" w:type="dxa"/>
            <w:tcBorders>
              <w:top w:val="nil"/>
              <w:bottom w:val="nil"/>
            </w:tcBorders>
            <w:shd w:val="clear" w:color="auto" w:fill="auto"/>
            <w:vAlign w:val="center"/>
          </w:tcPr>
          <w:p w14:paraId="2C4AB454">
            <w:pPr>
              <w:ind w:firstLine="0" w:firstLineChars="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湖北侧褶蛙</w:t>
            </w:r>
          </w:p>
        </w:tc>
        <w:tc>
          <w:tcPr>
            <w:tcW w:w="3454" w:type="dxa"/>
            <w:tcBorders>
              <w:top w:val="nil"/>
              <w:bottom w:val="nil"/>
            </w:tcBorders>
            <w:shd w:val="clear" w:color="auto" w:fill="auto"/>
            <w:vAlign w:val="center"/>
          </w:tcPr>
          <w:p w14:paraId="2BBC5777">
            <w:pPr>
              <w:ind w:firstLine="0" w:firstLineChars="0"/>
              <w:jc w:val="both"/>
              <w:rPr>
                <w:rFonts w:hint="default" w:ascii="Times New Roman" w:hAnsi="Times New Roman" w:eastAsia="宋体" w:cs="Times New Roman"/>
                <w:i/>
                <w:iCs/>
                <w:color w:val="auto"/>
                <w:kern w:val="0"/>
                <w:sz w:val="24"/>
                <w:szCs w:val="24"/>
              </w:rPr>
            </w:pPr>
            <w:r>
              <w:rPr>
                <w:rFonts w:hint="default" w:ascii="Times New Roman" w:hAnsi="Times New Roman" w:eastAsia="宋体" w:cs="Times New Roman"/>
                <w:i/>
                <w:iCs/>
                <w:color w:val="auto"/>
                <w:sz w:val="24"/>
                <w:szCs w:val="24"/>
              </w:rPr>
              <w:t>Pelophylax hubeiensis</w:t>
            </w:r>
          </w:p>
        </w:tc>
        <w:tc>
          <w:tcPr>
            <w:tcW w:w="775" w:type="dxa"/>
            <w:tcBorders>
              <w:top w:val="nil"/>
              <w:bottom w:val="nil"/>
            </w:tcBorders>
            <w:shd w:val="clear" w:color="auto" w:fill="auto"/>
            <w:vAlign w:val="center"/>
          </w:tcPr>
          <w:p w14:paraId="19640DFC">
            <w:pPr>
              <w:ind w:firstLine="0" w:firstLineChars="0"/>
              <w:jc w:val="center"/>
              <w:rPr>
                <w:rFonts w:hint="default" w:ascii="Times New Roman" w:hAnsi="Times New Roman" w:eastAsia="宋体" w:cs="Times New Roman"/>
                <w:color w:val="auto"/>
                <w:sz w:val="24"/>
                <w:szCs w:val="24"/>
              </w:rPr>
            </w:pPr>
          </w:p>
        </w:tc>
        <w:tc>
          <w:tcPr>
            <w:tcW w:w="1599" w:type="dxa"/>
            <w:tcBorders>
              <w:top w:val="nil"/>
              <w:bottom w:val="nil"/>
            </w:tcBorders>
            <w:shd w:val="clear" w:color="auto" w:fill="auto"/>
            <w:vAlign w:val="center"/>
          </w:tcPr>
          <w:p w14:paraId="6A4AC430">
            <w:pPr>
              <w:ind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无危（LC）</w:t>
            </w:r>
          </w:p>
        </w:tc>
        <w:tc>
          <w:tcPr>
            <w:tcW w:w="1180" w:type="dxa"/>
            <w:tcBorders>
              <w:top w:val="nil"/>
              <w:bottom w:val="nil"/>
            </w:tcBorders>
            <w:shd w:val="clear" w:color="auto" w:fill="auto"/>
            <w:vAlign w:val="center"/>
          </w:tcPr>
          <w:p w14:paraId="7AF82FA0">
            <w:pPr>
              <w:ind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是</w:t>
            </w:r>
          </w:p>
        </w:tc>
      </w:tr>
      <w:tr w14:paraId="586C43C8">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82" w:type="dxa"/>
            <w:tcBorders>
              <w:top w:val="nil"/>
            </w:tcBorders>
            <w:shd w:val="clear" w:color="auto" w:fill="auto"/>
            <w:vAlign w:val="center"/>
          </w:tcPr>
          <w:p w14:paraId="4126C1D7">
            <w:pPr>
              <w:ind w:firstLine="0" w:firstLineChars="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东方蝾螈</w:t>
            </w:r>
          </w:p>
        </w:tc>
        <w:tc>
          <w:tcPr>
            <w:tcW w:w="3454" w:type="dxa"/>
            <w:tcBorders>
              <w:top w:val="nil"/>
            </w:tcBorders>
            <w:shd w:val="clear" w:color="auto" w:fill="auto"/>
            <w:vAlign w:val="center"/>
          </w:tcPr>
          <w:p w14:paraId="7300BFD7">
            <w:pPr>
              <w:ind w:firstLine="0" w:firstLineChars="0"/>
              <w:jc w:val="both"/>
              <w:rPr>
                <w:rFonts w:hint="default" w:ascii="Times New Roman" w:hAnsi="Times New Roman" w:eastAsia="宋体" w:cs="Times New Roman"/>
                <w:i/>
                <w:iCs/>
                <w:color w:val="auto"/>
                <w:kern w:val="0"/>
                <w:sz w:val="24"/>
                <w:szCs w:val="24"/>
              </w:rPr>
            </w:pPr>
            <w:r>
              <w:rPr>
                <w:rFonts w:hint="default" w:ascii="Times New Roman" w:hAnsi="Times New Roman" w:eastAsia="宋体" w:cs="Times New Roman"/>
                <w:i/>
                <w:iCs/>
                <w:color w:val="auto"/>
                <w:sz w:val="24"/>
                <w:szCs w:val="24"/>
              </w:rPr>
              <w:t>Cynops orientalis</w:t>
            </w:r>
          </w:p>
        </w:tc>
        <w:tc>
          <w:tcPr>
            <w:tcW w:w="775" w:type="dxa"/>
            <w:tcBorders>
              <w:top w:val="nil"/>
            </w:tcBorders>
            <w:shd w:val="clear" w:color="auto" w:fill="auto"/>
            <w:vAlign w:val="center"/>
          </w:tcPr>
          <w:p w14:paraId="0F98C32F">
            <w:pPr>
              <w:ind w:firstLine="0" w:firstLineChars="0"/>
              <w:jc w:val="center"/>
              <w:rPr>
                <w:rFonts w:hint="default" w:ascii="Times New Roman" w:hAnsi="Times New Roman" w:eastAsia="宋体" w:cs="Times New Roman"/>
                <w:color w:val="auto"/>
                <w:sz w:val="24"/>
                <w:szCs w:val="24"/>
              </w:rPr>
            </w:pPr>
          </w:p>
        </w:tc>
        <w:tc>
          <w:tcPr>
            <w:tcW w:w="1599" w:type="dxa"/>
            <w:tcBorders>
              <w:top w:val="nil"/>
            </w:tcBorders>
            <w:shd w:val="clear" w:color="auto" w:fill="auto"/>
            <w:vAlign w:val="center"/>
          </w:tcPr>
          <w:p w14:paraId="165094D6">
            <w:pPr>
              <w:ind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近危（NT）</w:t>
            </w:r>
          </w:p>
        </w:tc>
        <w:tc>
          <w:tcPr>
            <w:tcW w:w="1180" w:type="dxa"/>
            <w:tcBorders>
              <w:top w:val="nil"/>
            </w:tcBorders>
            <w:shd w:val="clear" w:color="auto" w:fill="auto"/>
            <w:vAlign w:val="center"/>
          </w:tcPr>
          <w:p w14:paraId="68CF4D89">
            <w:pPr>
              <w:ind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是</w:t>
            </w:r>
          </w:p>
        </w:tc>
      </w:tr>
    </w:tbl>
    <w:p w14:paraId="7121799B">
      <w:pPr>
        <w:pStyle w:val="7"/>
        <w:pageBreakBefore w:val="0"/>
        <w:widowControl w:val="0"/>
        <w:kinsoku/>
        <w:wordWrap/>
        <w:overflowPunct/>
        <w:topLinePunct w:val="0"/>
        <w:autoSpaceDE/>
        <w:autoSpaceDN/>
        <w:bidi w:val="0"/>
        <w:adjustRightInd/>
        <w:snapToGrid/>
        <w:spacing w:before="312" w:beforeLines="100" w:line="540" w:lineRule="exact"/>
        <w:ind w:firstLine="640"/>
        <w:jc w:val="both"/>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6.鱼类</w:t>
      </w:r>
    </w:p>
    <w:p w14:paraId="3F904CB2">
      <w:pPr>
        <w:pageBreakBefore w:val="0"/>
        <w:widowControl w:val="0"/>
        <w:kinsoku/>
        <w:wordWrap/>
        <w:overflowPunct/>
        <w:topLinePunct w:val="0"/>
        <w:autoSpaceDE/>
        <w:autoSpaceDN/>
        <w:bidi w:val="0"/>
        <w:adjustRightInd/>
        <w:snapToGrid/>
        <w:spacing w:line="540" w:lineRule="exact"/>
        <w:ind w:firstLine="640"/>
        <w:jc w:val="both"/>
        <w:textAlignment w:val="auto"/>
        <w:rPr>
          <w:rFonts w:hint="default" w:ascii="Times New Roman" w:hAnsi="Times New Roman" w:cs="Times New Roman"/>
          <w:color w:val="auto"/>
        </w:rPr>
      </w:pPr>
      <w:bookmarkStart w:id="158" w:name="_Toc6118"/>
      <w:bookmarkStart w:id="159" w:name="_Toc15085"/>
      <w:bookmarkStart w:id="160" w:name="_Toc13440"/>
      <w:bookmarkStart w:id="161" w:name="_Toc1263"/>
      <w:bookmarkStart w:id="162" w:name="_Toc10434"/>
      <w:bookmarkStart w:id="163" w:name="_Toc147668080"/>
      <w:r>
        <w:rPr>
          <w:rFonts w:hint="default" w:ascii="Times New Roman" w:hAnsi="Times New Roman" w:cs="Times New Roman"/>
          <w:color w:val="auto"/>
        </w:rPr>
        <w:t>武汉市的鱼类优先保护物种共计6种，包括中华鲟（</w:t>
      </w:r>
      <w:r>
        <w:rPr>
          <w:rFonts w:hint="default" w:ascii="Times New Roman" w:hAnsi="Times New Roman" w:cs="Times New Roman"/>
          <w:i/>
          <w:color w:val="auto"/>
        </w:rPr>
        <w:t>Acipenser sinensis</w:t>
      </w:r>
      <w:r>
        <w:rPr>
          <w:rFonts w:hint="default" w:ascii="Times New Roman" w:hAnsi="Times New Roman" w:cs="Times New Roman"/>
          <w:color w:val="auto"/>
        </w:rPr>
        <w:t>）、鲥（</w:t>
      </w:r>
      <w:r>
        <w:rPr>
          <w:rFonts w:hint="default" w:ascii="Times New Roman" w:hAnsi="Times New Roman" w:cs="Times New Roman"/>
          <w:i/>
          <w:color w:val="auto"/>
        </w:rPr>
        <w:t>Macrura reevesi</w:t>
      </w:r>
      <w:r>
        <w:rPr>
          <w:rFonts w:hint="default" w:ascii="Times New Roman" w:hAnsi="Times New Roman" w:cs="Times New Roman"/>
          <w:color w:val="auto"/>
        </w:rPr>
        <w:t>）、</w:t>
      </w:r>
      <w:r>
        <w:rPr>
          <w:rFonts w:hint="default" w:ascii="Times New Roman" w:hAnsi="Times New Roman" w:eastAsia="仿宋" w:cs="Times New Roman"/>
          <w:color w:val="auto"/>
        </w:rPr>
        <w:t>鯮</w:t>
      </w:r>
      <w:r>
        <w:rPr>
          <w:rFonts w:hint="default" w:ascii="Times New Roman" w:hAnsi="Times New Roman" w:cs="Times New Roman"/>
          <w:color w:val="auto"/>
        </w:rPr>
        <w:t>（</w:t>
      </w:r>
      <w:r>
        <w:rPr>
          <w:rFonts w:hint="default" w:ascii="Times New Roman" w:hAnsi="Times New Roman" w:cs="Times New Roman"/>
          <w:i/>
          <w:color w:val="auto"/>
        </w:rPr>
        <w:t>Luciobrama macrocephalus</w:t>
      </w:r>
      <w:r>
        <w:rPr>
          <w:rFonts w:hint="default" w:ascii="Times New Roman" w:hAnsi="Times New Roman" w:cs="Times New Roman"/>
          <w:color w:val="auto"/>
        </w:rPr>
        <w:t>）、</w:t>
      </w:r>
      <w:r>
        <w:rPr>
          <w:rFonts w:hint="default" w:ascii="Times New Roman" w:hAnsi="Times New Roman" w:eastAsia="仿宋" w:cs="Times New Roman"/>
          <w:color w:val="auto"/>
        </w:rPr>
        <w:t>鳤</w:t>
      </w:r>
      <w:r>
        <w:rPr>
          <w:rFonts w:hint="default" w:ascii="Times New Roman" w:hAnsi="Times New Roman" w:cs="Times New Roman"/>
          <w:color w:val="auto"/>
        </w:rPr>
        <w:t>（</w:t>
      </w:r>
      <w:r>
        <w:rPr>
          <w:rFonts w:hint="default" w:ascii="Times New Roman" w:hAnsi="Times New Roman" w:cs="Times New Roman"/>
          <w:i/>
          <w:color w:val="auto"/>
        </w:rPr>
        <w:t>Ochetobius elongatus</w:t>
      </w:r>
      <w:r>
        <w:rPr>
          <w:rFonts w:hint="default" w:ascii="Times New Roman" w:hAnsi="Times New Roman" w:cs="Times New Roman"/>
          <w:color w:val="auto"/>
        </w:rPr>
        <w:t>）、胭脂鱼（</w:t>
      </w:r>
      <w:r>
        <w:rPr>
          <w:rFonts w:hint="default" w:ascii="Times New Roman" w:hAnsi="Times New Roman" w:cs="Times New Roman"/>
          <w:i/>
          <w:color w:val="auto"/>
        </w:rPr>
        <w:t>Myxocyprinus asiaticus</w:t>
      </w:r>
      <w:r>
        <w:rPr>
          <w:rFonts w:hint="default" w:ascii="Times New Roman" w:hAnsi="Times New Roman" w:cs="Times New Roman"/>
          <w:color w:val="auto"/>
        </w:rPr>
        <w:t>）以及长身鳜（</w:t>
      </w:r>
      <w:r>
        <w:rPr>
          <w:rFonts w:hint="default" w:ascii="Times New Roman" w:hAnsi="Times New Roman" w:cs="Times New Roman"/>
          <w:i/>
          <w:color w:val="auto"/>
        </w:rPr>
        <w:t>Coreosiniperca roulei</w:t>
      </w:r>
      <w:r>
        <w:rPr>
          <w:rFonts w:hint="default" w:ascii="Times New Roman" w:hAnsi="Times New Roman" w:cs="Times New Roman"/>
          <w:color w:val="auto"/>
        </w:rPr>
        <w:t>）。</w:t>
      </w:r>
    </w:p>
    <w:p w14:paraId="3EFE1C89">
      <w:pPr>
        <w:pageBreakBefore w:val="0"/>
        <w:widowControl w:val="0"/>
        <w:kinsoku/>
        <w:wordWrap/>
        <w:overflowPunct/>
        <w:topLinePunct w:val="0"/>
        <w:autoSpaceDE/>
        <w:autoSpaceDN/>
        <w:bidi w:val="0"/>
        <w:adjustRightInd/>
        <w:snapToGrid/>
        <w:spacing w:line="540" w:lineRule="exact"/>
        <w:ind w:firstLine="640"/>
        <w:jc w:val="both"/>
        <w:textAlignment w:val="auto"/>
        <w:rPr>
          <w:rFonts w:hint="default" w:ascii="Times New Roman" w:hAnsi="Times New Roman" w:cs="Times New Roman"/>
          <w:color w:val="auto"/>
        </w:rPr>
      </w:pPr>
      <w:r>
        <w:rPr>
          <w:rFonts w:hint="default" w:ascii="Times New Roman" w:hAnsi="Times New Roman" w:cs="Times New Roman"/>
          <w:color w:val="auto"/>
        </w:rPr>
        <w:t>其中，中华鲟和鲥为国家一级重点保护野生动物，在红色名录中被列为极危物种，是具有重要科研和经济价值的活化石；</w:t>
      </w:r>
      <w:r>
        <w:rPr>
          <w:rFonts w:hint="default" w:ascii="Times New Roman" w:hAnsi="Times New Roman" w:eastAsia="仿宋" w:cs="Times New Roman"/>
          <w:color w:val="auto"/>
        </w:rPr>
        <w:t>鯮</w:t>
      </w:r>
      <w:r>
        <w:rPr>
          <w:rFonts w:hint="default" w:ascii="Times New Roman" w:hAnsi="Times New Roman" w:cs="Times New Roman"/>
          <w:color w:val="auto"/>
        </w:rPr>
        <w:t>、胭脂鱼为国家二级重点保护野生动物，在红色名录中被列为极危物种，其中胭脂鱼是胭脂鱼科在中国的唯一代表，也是中国特有属种，仅分布于长江干流及通江湖泊和中上游的主要支流。中华鲟由于产卵场破坏等因素，其野生种群已经受到巨大威胁，而鲥和</w:t>
      </w:r>
      <w:r>
        <w:rPr>
          <w:rFonts w:hint="default" w:ascii="Times New Roman" w:hAnsi="Times New Roman" w:eastAsia="仿宋" w:cs="Times New Roman"/>
          <w:color w:val="auto"/>
        </w:rPr>
        <w:t>鯮</w:t>
      </w:r>
      <w:r>
        <w:rPr>
          <w:rFonts w:hint="default" w:ascii="Times New Roman" w:hAnsi="Times New Roman" w:cs="Times New Roman"/>
          <w:color w:val="auto"/>
        </w:rPr>
        <w:t>已多年没有捕获记录，其野外种群状况岌岌可危。</w:t>
      </w:r>
    </w:p>
    <w:p w14:paraId="0DCD2015">
      <w:pPr>
        <w:pageBreakBefore w:val="0"/>
        <w:widowControl w:val="0"/>
        <w:kinsoku/>
        <w:wordWrap/>
        <w:overflowPunct/>
        <w:topLinePunct w:val="0"/>
        <w:autoSpaceDE/>
        <w:autoSpaceDN/>
        <w:bidi w:val="0"/>
        <w:adjustRightInd/>
        <w:snapToGrid/>
        <w:spacing w:line="540" w:lineRule="exact"/>
        <w:ind w:firstLine="640"/>
        <w:jc w:val="both"/>
        <w:textAlignment w:val="auto"/>
        <w:rPr>
          <w:rFonts w:hint="default" w:ascii="Times New Roman" w:hAnsi="Times New Roman" w:cs="Times New Roman"/>
          <w:color w:val="auto"/>
        </w:rPr>
      </w:pPr>
      <w:r>
        <w:rPr>
          <w:rFonts w:hint="default" w:ascii="Times New Roman" w:hAnsi="Times New Roman" w:eastAsia="仿宋" w:cs="Times New Roman"/>
          <w:color w:val="auto"/>
        </w:rPr>
        <w:t>鳤</w:t>
      </w:r>
      <w:r>
        <w:rPr>
          <w:rFonts w:hint="default" w:ascii="Times New Roman" w:hAnsi="Times New Roman" w:cs="Times New Roman"/>
          <w:color w:val="auto"/>
        </w:rPr>
        <w:t>在红色名录中被列为极危物种，长身鳜在红色名录中被列为近危物种，且为中国特有种，因环境污染、栖息地破坏等因素，其野生种群受到一定威胁。</w:t>
      </w:r>
    </w:p>
    <w:p w14:paraId="61AA1E20">
      <w:pPr>
        <w:spacing w:after="156" w:afterLines="50"/>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表4-6 鱼类优先保护物种名录</w:t>
      </w:r>
    </w:p>
    <w:tbl>
      <w:tblPr>
        <w:tblStyle w:val="27"/>
        <w:tblW w:w="8878" w:type="dxa"/>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61"/>
        <w:gridCol w:w="3536"/>
        <w:gridCol w:w="1188"/>
        <w:gridCol w:w="1512"/>
        <w:gridCol w:w="1181"/>
      </w:tblGrid>
      <w:tr w14:paraId="6766742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1461" w:type="dxa"/>
            <w:tcBorders>
              <w:top w:val="single" w:color="auto" w:sz="8" w:space="0"/>
              <w:bottom w:val="nil"/>
            </w:tcBorders>
            <w:vAlign w:val="center"/>
          </w:tcPr>
          <w:p w14:paraId="66F69E0E">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物种中文名</w:t>
            </w:r>
          </w:p>
        </w:tc>
        <w:tc>
          <w:tcPr>
            <w:tcW w:w="3536" w:type="dxa"/>
            <w:tcBorders>
              <w:top w:val="single" w:color="auto" w:sz="8" w:space="0"/>
              <w:bottom w:val="nil"/>
            </w:tcBorders>
            <w:vAlign w:val="center"/>
          </w:tcPr>
          <w:p w14:paraId="2C262EE7">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物种学名</w:t>
            </w:r>
          </w:p>
        </w:tc>
        <w:tc>
          <w:tcPr>
            <w:tcW w:w="1188" w:type="dxa"/>
            <w:tcBorders>
              <w:top w:val="single" w:color="auto" w:sz="8" w:space="0"/>
              <w:bottom w:val="nil"/>
            </w:tcBorders>
            <w:vAlign w:val="center"/>
          </w:tcPr>
          <w:p w14:paraId="4505792C">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保护等级</w:t>
            </w:r>
          </w:p>
        </w:tc>
        <w:tc>
          <w:tcPr>
            <w:tcW w:w="1512" w:type="dxa"/>
            <w:tcBorders>
              <w:top w:val="single" w:color="auto" w:sz="8" w:space="0"/>
              <w:bottom w:val="nil"/>
            </w:tcBorders>
            <w:vAlign w:val="center"/>
          </w:tcPr>
          <w:p w14:paraId="0CEC015D">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濒危等级</w:t>
            </w:r>
          </w:p>
        </w:tc>
        <w:tc>
          <w:tcPr>
            <w:tcW w:w="1181" w:type="dxa"/>
            <w:tcBorders>
              <w:top w:val="single" w:color="auto" w:sz="8" w:space="0"/>
              <w:bottom w:val="nil"/>
            </w:tcBorders>
            <w:vAlign w:val="center"/>
          </w:tcPr>
          <w:p w14:paraId="7F326138">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是否中国</w:t>
            </w:r>
          </w:p>
          <w:p w14:paraId="41A43E71">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特有种</w:t>
            </w:r>
          </w:p>
        </w:tc>
      </w:tr>
      <w:tr w14:paraId="41645F0F">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61" w:type="dxa"/>
            <w:tcBorders>
              <w:top w:val="single" w:color="auto" w:sz="4" w:space="0"/>
              <w:bottom w:val="nil"/>
            </w:tcBorders>
            <w:vAlign w:val="center"/>
          </w:tcPr>
          <w:p w14:paraId="376D16AA">
            <w:pPr>
              <w:ind w:firstLine="0" w:firstLineChars="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中华鲟</w:t>
            </w:r>
          </w:p>
        </w:tc>
        <w:tc>
          <w:tcPr>
            <w:tcW w:w="3536" w:type="dxa"/>
            <w:tcBorders>
              <w:top w:val="single" w:color="auto" w:sz="4" w:space="0"/>
              <w:bottom w:val="nil"/>
            </w:tcBorders>
            <w:vAlign w:val="center"/>
          </w:tcPr>
          <w:p w14:paraId="455F6EC8">
            <w:pPr>
              <w:ind w:firstLine="0" w:firstLineChars="0"/>
              <w:jc w:val="both"/>
              <w:rPr>
                <w:rFonts w:hint="default" w:ascii="Times New Roman" w:hAnsi="Times New Roman" w:eastAsia="宋体" w:cs="Times New Roman"/>
                <w:i/>
                <w:iCs/>
                <w:color w:val="auto"/>
                <w:kern w:val="0"/>
                <w:sz w:val="24"/>
                <w:szCs w:val="24"/>
              </w:rPr>
            </w:pPr>
            <w:r>
              <w:rPr>
                <w:rFonts w:hint="default" w:ascii="Times New Roman" w:hAnsi="Times New Roman" w:eastAsia="宋体" w:cs="Times New Roman"/>
                <w:i/>
                <w:iCs/>
                <w:color w:val="auto"/>
                <w:kern w:val="0"/>
                <w:sz w:val="24"/>
                <w:szCs w:val="24"/>
              </w:rPr>
              <w:t>Acipenser sinensis</w:t>
            </w:r>
          </w:p>
        </w:tc>
        <w:tc>
          <w:tcPr>
            <w:tcW w:w="1188" w:type="dxa"/>
            <w:tcBorders>
              <w:top w:val="single" w:color="auto" w:sz="4" w:space="0"/>
              <w:bottom w:val="nil"/>
            </w:tcBorders>
            <w:vAlign w:val="center"/>
          </w:tcPr>
          <w:p w14:paraId="384465EB">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一级</w:t>
            </w:r>
          </w:p>
        </w:tc>
        <w:tc>
          <w:tcPr>
            <w:tcW w:w="1512" w:type="dxa"/>
            <w:tcBorders>
              <w:top w:val="single" w:color="auto" w:sz="4" w:space="0"/>
              <w:bottom w:val="nil"/>
            </w:tcBorders>
            <w:vAlign w:val="center"/>
          </w:tcPr>
          <w:p w14:paraId="33303E71">
            <w:pPr>
              <w:ind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极危（CR）</w:t>
            </w:r>
          </w:p>
        </w:tc>
        <w:tc>
          <w:tcPr>
            <w:tcW w:w="1181" w:type="dxa"/>
            <w:tcBorders>
              <w:top w:val="single" w:color="auto" w:sz="4" w:space="0"/>
              <w:bottom w:val="nil"/>
            </w:tcBorders>
            <w:vAlign w:val="center"/>
          </w:tcPr>
          <w:p w14:paraId="7970B704">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1939D02A">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61" w:type="dxa"/>
            <w:tcBorders>
              <w:top w:val="nil"/>
              <w:bottom w:val="nil"/>
            </w:tcBorders>
            <w:vAlign w:val="center"/>
          </w:tcPr>
          <w:p w14:paraId="040F959F">
            <w:pPr>
              <w:ind w:firstLine="0" w:firstLineChars="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鲥</w:t>
            </w:r>
          </w:p>
        </w:tc>
        <w:tc>
          <w:tcPr>
            <w:tcW w:w="3536" w:type="dxa"/>
            <w:tcBorders>
              <w:top w:val="nil"/>
              <w:bottom w:val="nil"/>
            </w:tcBorders>
            <w:vAlign w:val="center"/>
          </w:tcPr>
          <w:p w14:paraId="1D84C56E">
            <w:pPr>
              <w:ind w:firstLine="0" w:firstLineChars="0"/>
              <w:jc w:val="both"/>
              <w:rPr>
                <w:rFonts w:hint="default" w:ascii="Times New Roman" w:hAnsi="Times New Roman" w:eastAsia="宋体" w:cs="Times New Roman"/>
                <w:i/>
                <w:iCs/>
                <w:color w:val="auto"/>
                <w:kern w:val="0"/>
                <w:sz w:val="24"/>
                <w:szCs w:val="24"/>
              </w:rPr>
            </w:pPr>
            <w:r>
              <w:rPr>
                <w:rFonts w:hint="default" w:ascii="Times New Roman" w:hAnsi="Times New Roman" w:eastAsia="宋体" w:cs="Times New Roman"/>
                <w:i/>
                <w:iCs/>
                <w:color w:val="auto"/>
                <w:kern w:val="0"/>
                <w:sz w:val="24"/>
                <w:szCs w:val="24"/>
              </w:rPr>
              <w:t>Macrura reevesi</w:t>
            </w:r>
          </w:p>
        </w:tc>
        <w:tc>
          <w:tcPr>
            <w:tcW w:w="1188" w:type="dxa"/>
            <w:tcBorders>
              <w:top w:val="nil"/>
              <w:bottom w:val="nil"/>
            </w:tcBorders>
            <w:vAlign w:val="center"/>
          </w:tcPr>
          <w:p w14:paraId="60D29C1B">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一级</w:t>
            </w:r>
          </w:p>
        </w:tc>
        <w:tc>
          <w:tcPr>
            <w:tcW w:w="1512" w:type="dxa"/>
            <w:tcBorders>
              <w:top w:val="nil"/>
              <w:bottom w:val="nil"/>
            </w:tcBorders>
            <w:vAlign w:val="center"/>
          </w:tcPr>
          <w:p w14:paraId="04A4269E">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极危（CR）</w:t>
            </w:r>
          </w:p>
        </w:tc>
        <w:tc>
          <w:tcPr>
            <w:tcW w:w="1181" w:type="dxa"/>
            <w:tcBorders>
              <w:top w:val="nil"/>
              <w:bottom w:val="nil"/>
            </w:tcBorders>
            <w:vAlign w:val="center"/>
          </w:tcPr>
          <w:p w14:paraId="540E10DE">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w:t>
            </w:r>
          </w:p>
        </w:tc>
      </w:tr>
      <w:tr w14:paraId="68171EC5">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61" w:type="dxa"/>
            <w:tcBorders>
              <w:top w:val="nil"/>
              <w:bottom w:val="nil"/>
            </w:tcBorders>
            <w:vAlign w:val="center"/>
          </w:tcPr>
          <w:p w14:paraId="78004517">
            <w:pPr>
              <w:ind w:firstLine="0" w:firstLineChars="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鯮</w:t>
            </w:r>
          </w:p>
        </w:tc>
        <w:tc>
          <w:tcPr>
            <w:tcW w:w="3536" w:type="dxa"/>
            <w:tcBorders>
              <w:top w:val="nil"/>
              <w:bottom w:val="nil"/>
            </w:tcBorders>
            <w:vAlign w:val="center"/>
          </w:tcPr>
          <w:p w14:paraId="1FD8799D">
            <w:pPr>
              <w:ind w:firstLine="0" w:firstLineChars="0"/>
              <w:jc w:val="both"/>
              <w:rPr>
                <w:rFonts w:hint="default" w:ascii="Times New Roman" w:hAnsi="Times New Roman" w:eastAsia="宋体" w:cs="Times New Roman"/>
                <w:i/>
                <w:iCs/>
                <w:color w:val="auto"/>
                <w:kern w:val="0"/>
                <w:sz w:val="24"/>
                <w:szCs w:val="24"/>
              </w:rPr>
            </w:pPr>
            <w:r>
              <w:rPr>
                <w:rFonts w:hint="default" w:ascii="Times New Roman" w:hAnsi="Times New Roman" w:eastAsia="宋体" w:cs="Times New Roman"/>
                <w:i/>
                <w:iCs/>
                <w:color w:val="auto"/>
                <w:kern w:val="0"/>
                <w:sz w:val="24"/>
                <w:szCs w:val="24"/>
              </w:rPr>
              <w:t>Luciobrama macrocephalus</w:t>
            </w:r>
          </w:p>
        </w:tc>
        <w:tc>
          <w:tcPr>
            <w:tcW w:w="1188" w:type="dxa"/>
            <w:tcBorders>
              <w:top w:val="nil"/>
              <w:bottom w:val="nil"/>
            </w:tcBorders>
            <w:vAlign w:val="center"/>
          </w:tcPr>
          <w:p w14:paraId="30D82636">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二级</w:t>
            </w:r>
          </w:p>
        </w:tc>
        <w:tc>
          <w:tcPr>
            <w:tcW w:w="1512" w:type="dxa"/>
            <w:tcBorders>
              <w:top w:val="nil"/>
              <w:bottom w:val="nil"/>
            </w:tcBorders>
            <w:vAlign w:val="center"/>
          </w:tcPr>
          <w:p w14:paraId="3CAAA8BC">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rPr>
              <w:t>极危（CR）</w:t>
            </w:r>
          </w:p>
        </w:tc>
        <w:tc>
          <w:tcPr>
            <w:tcW w:w="1181" w:type="dxa"/>
            <w:tcBorders>
              <w:top w:val="nil"/>
              <w:bottom w:val="nil"/>
            </w:tcBorders>
            <w:vAlign w:val="center"/>
          </w:tcPr>
          <w:p w14:paraId="14C40259">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0A062357">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61" w:type="dxa"/>
            <w:tcBorders>
              <w:top w:val="nil"/>
              <w:bottom w:val="nil"/>
            </w:tcBorders>
            <w:vAlign w:val="center"/>
          </w:tcPr>
          <w:p w14:paraId="5E4C3152">
            <w:pPr>
              <w:ind w:firstLine="0" w:firstLineChars="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胭脂鱼</w:t>
            </w:r>
          </w:p>
        </w:tc>
        <w:tc>
          <w:tcPr>
            <w:tcW w:w="3536" w:type="dxa"/>
            <w:tcBorders>
              <w:top w:val="nil"/>
              <w:bottom w:val="nil"/>
            </w:tcBorders>
            <w:vAlign w:val="center"/>
          </w:tcPr>
          <w:p w14:paraId="54381F53">
            <w:pPr>
              <w:ind w:firstLine="0" w:firstLineChars="0"/>
              <w:jc w:val="both"/>
              <w:rPr>
                <w:rFonts w:hint="default" w:ascii="Times New Roman" w:hAnsi="Times New Roman" w:eastAsia="宋体" w:cs="Times New Roman"/>
                <w:i/>
                <w:iCs/>
                <w:color w:val="auto"/>
                <w:kern w:val="0"/>
                <w:sz w:val="24"/>
                <w:szCs w:val="24"/>
              </w:rPr>
            </w:pPr>
            <w:r>
              <w:rPr>
                <w:rFonts w:hint="default" w:ascii="Times New Roman" w:hAnsi="Times New Roman" w:eastAsia="宋体" w:cs="Times New Roman"/>
                <w:i/>
                <w:iCs/>
                <w:color w:val="auto"/>
                <w:kern w:val="0"/>
                <w:sz w:val="24"/>
                <w:szCs w:val="24"/>
              </w:rPr>
              <w:t>Myxocyprinus asiaticus</w:t>
            </w:r>
          </w:p>
        </w:tc>
        <w:tc>
          <w:tcPr>
            <w:tcW w:w="1188" w:type="dxa"/>
            <w:tcBorders>
              <w:top w:val="nil"/>
              <w:bottom w:val="nil"/>
            </w:tcBorders>
            <w:vAlign w:val="center"/>
          </w:tcPr>
          <w:p w14:paraId="69E110E1">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二级</w:t>
            </w:r>
          </w:p>
        </w:tc>
        <w:tc>
          <w:tcPr>
            <w:tcW w:w="1512" w:type="dxa"/>
            <w:tcBorders>
              <w:top w:val="nil"/>
              <w:bottom w:val="nil"/>
            </w:tcBorders>
            <w:vAlign w:val="center"/>
          </w:tcPr>
          <w:p w14:paraId="5CB374D3">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极危（CR）</w:t>
            </w:r>
          </w:p>
        </w:tc>
        <w:tc>
          <w:tcPr>
            <w:tcW w:w="1181" w:type="dxa"/>
            <w:tcBorders>
              <w:top w:val="nil"/>
              <w:bottom w:val="nil"/>
            </w:tcBorders>
            <w:vAlign w:val="center"/>
          </w:tcPr>
          <w:p w14:paraId="20B25253">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w:t>
            </w:r>
          </w:p>
        </w:tc>
      </w:tr>
      <w:tr w14:paraId="5C3CF0F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61" w:type="dxa"/>
            <w:tcBorders>
              <w:top w:val="nil"/>
              <w:bottom w:val="nil"/>
            </w:tcBorders>
            <w:vAlign w:val="center"/>
          </w:tcPr>
          <w:p w14:paraId="74017D7E">
            <w:pPr>
              <w:ind w:firstLine="0" w:firstLineChars="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鳤</w:t>
            </w:r>
          </w:p>
        </w:tc>
        <w:tc>
          <w:tcPr>
            <w:tcW w:w="3536" w:type="dxa"/>
            <w:tcBorders>
              <w:top w:val="nil"/>
              <w:bottom w:val="nil"/>
            </w:tcBorders>
            <w:vAlign w:val="center"/>
          </w:tcPr>
          <w:p w14:paraId="0FB0F290">
            <w:pPr>
              <w:ind w:firstLine="0" w:firstLineChars="0"/>
              <w:jc w:val="both"/>
              <w:rPr>
                <w:rFonts w:hint="default" w:ascii="Times New Roman" w:hAnsi="Times New Roman" w:eastAsia="宋体" w:cs="Times New Roman"/>
                <w:i/>
                <w:iCs/>
                <w:color w:val="auto"/>
                <w:kern w:val="0"/>
                <w:sz w:val="24"/>
                <w:szCs w:val="24"/>
              </w:rPr>
            </w:pPr>
            <w:r>
              <w:rPr>
                <w:rFonts w:hint="default" w:ascii="Times New Roman" w:hAnsi="Times New Roman" w:eastAsia="宋体" w:cs="Times New Roman"/>
                <w:i/>
                <w:iCs/>
                <w:color w:val="auto"/>
                <w:kern w:val="0"/>
                <w:sz w:val="24"/>
                <w:szCs w:val="24"/>
              </w:rPr>
              <w:t>Ochetobius elongatus</w:t>
            </w:r>
          </w:p>
        </w:tc>
        <w:tc>
          <w:tcPr>
            <w:tcW w:w="1188" w:type="dxa"/>
            <w:tcBorders>
              <w:top w:val="nil"/>
              <w:bottom w:val="nil"/>
            </w:tcBorders>
            <w:vAlign w:val="center"/>
          </w:tcPr>
          <w:p w14:paraId="54FCCF70">
            <w:pPr>
              <w:ind w:firstLine="0" w:firstLineChars="0"/>
              <w:jc w:val="center"/>
              <w:rPr>
                <w:rFonts w:hint="default" w:ascii="Times New Roman" w:hAnsi="Times New Roman" w:eastAsia="宋体" w:cs="Times New Roman"/>
                <w:color w:val="auto"/>
                <w:sz w:val="24"/>
                <w:szCs w:val="24"/>
              </w:rPr>
            </w:pPr>
          </w:p>
        </w:tc>
        <w:tc>
          <w:tcPr>
            <w:tcW w:w="1512" w:type="dxa"/>
            <w:tcBorders>
              <w:top w:val="nil"/>
              <w:bottom w:val="nil"/>
            </w:tcBorders>
            <w:vAlign w:val="center"/>
          </w:tcPr>
          <w:p w14:paraId="67F9262E">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极危（CR）</w:t>
            </w:r>
          </w:p>
        </w:tc>
        <w:tc>
          <w:tcPr>
            <w:tcW w:w="1181" w:type="dxa"/>
            <w:tcBorders>
              <w:top w:val="nil"/>
              <w:bottom w:val="nil"/>
            </w:tcBorders>
            <w:vAlign w:val="center"/>
          </w:tcPr>
          <w:p w14:paraId="38B00B9D">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tc>
      </w:tr>
      <w:tr w14:paraId="084DC3D9">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61" w:type="dxa"/>
            <w:tcBorders>
              <w:top w:val="nil"/>
              <w:bottom w:val="single" w:color="auto" w:sz="4" w:space="0"/>
            </w:tcBorders>
            <w:vAlign w:val="center"/>
          </w:tcPr>
          <w:p w14:paraId="39BB03E3">
            <w:pPr>
              <w:ind w:firstLine="0" w:firstLineChars="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长身鳜</w:t>
            </w:r>
          </w:p>
        </w:tc>
        <w:tc>
          <w:tcPr>
            <w:tcW w:w="3536" w:type="dxa"/>
            <w:tcBorders>
              <w:top w:val="nil"/>
              <w:bottom w:val="single" w:color="auto" w:sz="4" w:space="0"/>
            </w:tcBorders>
            <w:vAlign w:val="center"/>
          </w:tcPr>
          <w:p w14:paraId="22704D5C">
            <w:pPr>
              <w:ind w:firstLine="0" w:firstLineChars="0"/>
              <w:jc w:val="both"/>
              <w:rPr>
                <w:rFonts w:hint="default" w:ascii="Times New Roman" w:hAnsi="Times New Roman" w:eastAsia="宋体" w:cs="Times New Roman"/>
                <w:i/>
                <w:iCs/>
                <w:color w:val="auto"/>
                <w:kern w:val="0"/>
                <w:sz w:val="24"/>
                <w:szCs w:val="24"/>
              </w:rPr>
            </w:pPr>
            <w:r>
              <w:rPr>
                <w:rFonts w:hint="default" w:ascii="Times New Roman" w:hAnsi="Times New Roman" w:eastAsia="宋体" w:cs="Times New Roman"/>
                <w:i/>
                <w:iCs/>
                <w:color w:val="auto"/>
                <w:kern w:val="0"/>
                <w:sz w:val="24"/>
                <w:szCs w:val="24"/>
              </w:rPr>
              <w:t xml:space="preserve">Coreosiniperca roulei </w:t>
            </w:r>
          </w:p>
        </w:tc>
        <w:tc>
          <w:tcPr>
            <w:tcW w:w="1188" w:type="dxa"/>
            <w:tcBorders>
              <w:top w:val="nil"/>
              <w:bottom w:val="single" w:color="auto" w:sz="4" w:space="0"/>
            </w:tcBorders>
            <w:vAlign w:val="center"/>
          </w:tcPr>
          <w:p w14:paraId="0548F499">
            <w:pPr>
              <w:ind w:firstLine="0" w:firstLineChars="0"/>
              <w:jc w:val="center"/>
              <w:rPr>
                <w:rFonts w:hint="default" w:ascii="Times New Roman" w:hAnsi="Times New Roman" w:eastAsia="宋体" w:cs="Times New Roman"/>
                <w:color w:val="auto"/>
                <w:sz w:val="24"/>
                <w:szCs w:val="24"/>
              </w:rPr>
            </w:pPr>
          </w:p>
        </w:tc>
        <w:tc>
          <w:tcPr>
            <w:tcW w:w="1512" w:type="dxa"/>
            <w:tcBorders>
              <w:top w:val="nil"/>
              <w:bottom w:val="single" w:color="auto" w:sz="4" w:space="0"/>
            </w:tcBorders>
            <w:vAlign w:val="center"/>
          </w:tcPr>
          <w:p w14:paraId="3AC11F52">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近危（NT）</w:t>
            </w:r>
          </w:p>
        </w:tc>
        <w:tc>
          <w:tcPr>
            <w:tcW w:w="1181" w:type="dxa"/>
            <w:tcBorders>
              <w:top w:val="nil"/>
              <w:bottom w:val="single" w:color="auto" w:sz="4" w:space="0"/>
            </w:tcBorders>
            <w:vAlign w:val="center"/>
          </w:tcPr>
          <w:p w14:paraId="7727931C">
            <w:pPr>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w:t>
            </w:r>
          </w:p>
        </w:tc>
      </w:tr>
    </w:tbl>
    <w:p w14:paraId="23163CC2">
      <w:pPr>
        <w:pStyle w:val="3"/>
        <w:ind w:firstLine="640"/>
        <w:rPr>
          <w:rFonts w:hint="default" w:ascii="Times New Roman" w:hAnsi="Times New Roman" w:cs="Times New Roman"/>
          <w:color w:val="auto"/>
        </w:rPr>
      </w:pPr>
    </w:p>
    <w:p w14:paraId="704A00EE">
      <w:pPr>
        <w:pStyle w:val="6"/>
        <w:ind w:firstLine="640"/>
        <w:jc w:val="both"/>
        <w:rPr>
          <w:rFonts w:hint="default" w:ascii="Times New Roman" w:hAnsi="Times New Roman" w:cs="Times New Roman"/>
          <w:b w:val="0"/>
          <w:bCs w:val="0"/>
          <w:color w:val="auto"/>
        </w:rPr>
      </w:pPr>
      <w:bookmarkStart w:id="164" w:name="_Toc194476144"/>
      <w:r>
        <w:rPr>
          <w:rFonts w:hint="default" w:ascii="Times New Roman" w:hAnsi="Times New Roman" w:cs="Times New Roman"/>
          <w:b w:val="0"/>
          <w:bCs w:val="0"/>
          <w:color w:val="auto"/>
        </w:rPr>
        <w:t>（三）保护优先区域</w:t>
      </w:r>
      <w:bookmarkEnd w:id="158"/>
      <w:bookmarkEnd w:id="159"/>
      <w:bookmarkEnd w:id="160"/>
      <w:bookmarkEnd w:id="161"/>
      <w:bookmarkEnd w:id="162"/>
      <w:bookmarkEnd w:id="163"/>
      <w:bookmarkEnd w:id="164"/>
    </w:p>
    <w:p w14:paraId="76FA4FCD">
      <w:pPr>
        <w:ind w:firstLine="640"/>
        <w:jc w:val="both"/>
        <w:rPr>
          <w:rFonts w:hint="default" w:ascii="Times New Roman" w:hAnsi="Times New Roman" w:cs="Times New Roman"/>
          <w:color w:val="auto"/>
        </w:rPr>
      </w:pPr>
      <w:r>
        <w:rPr>
          <w:rFonts w:hint="default" w:ascii="Times New Roman" w:hAnsi="Times New Roman" w:cs="Times New Roman"/>
          <w:color w:val="auto"/>
        </w:rPr>
        <w:t>基于《武汉市国土空间总体规划（2021-2035年）》（国务院批复稿）“两轴两环、六楔多廊”的生态空间格局，以湖北省生物多样性保护优先区域、武汉市自然保护地和生态保护红线范围为基础区域，结合《陆生野生动物重要栖息地名录》和长江武汉段生物多样性状况定期遥感调查与观测评估项目中重要物种分布情况，明确就地保护现状及保护空缺，锚固山清水秀的生态空间，形成“两轴两环、四大片区、十二个优先区”的武汉市生物多样性保护优先区域空间分布格局，巩固“两江八水百湖”的全域水网格局和市域“三列山系”的保护格局，构建“北依楚山林、南纳云梦泽、两江分三镇、六楔聚多瓣”的总体风貌格局，推动生态系统整体保护。</w:t>
      </w:r>
    </w:p>
    <w:p w14:paraId="65D337B3">
      <w:pPr>
        <w:ind w:firstLine="640"/>
        <w:jc w:val="both"/>
        <w:rPr>
          <w:rFonts w:hint="default" w:ascii="Times New Roman" w:hAnsi="Times New Roman" w:cs="Times New Roman"/>
          <w:color w:val="auto"/>
        </w:rPr>
      </w:pPr>
      <w:r>
        <w:rPr>
          <w:rFonts w:hint="default" w:ascii="Times New Roman" w:hAnsi="Times New Roman" w:cs="Times New Roman"/>
          <w:color w:val="auto"/>
        </w:rPr>
        <w:t>以山系水系为“骨干”，打造“两轴两环”的生态脊梁，提升“六楔八廊”的生态系统服务功能</w:t>
      </w:r>
      <w:r>
        <w:rPr>
          <w:rStyle w:val="32"/>
          <w:rFonts w:hint="default" w:ascii="Times New Roman" w:hAnsi="Times New Roman" w:cs="Times New Roman"/>
          <w:color w:val="auto"/>
        </w:rPr>
        <w:footnoteReference w:id="9"/>
      </w:r>
      <w:r>
        <w:rPr>
          <w:rFonts w:hint="default" w:ascii="Times New Roman" w:hAnsi="Times New Roman" w:cs="Times New Roman"/>
          <w:color w:val="auto"/>
        </w:rPr>
        <w:t>；以生态系统分布特征为基本要素，构建“四大生态片区”“十二个优先区”的生物多样性保护框架，打造“五张生态名片”。</w:t>
      </w:r>
    </w:p>
    <w:p w14:paraId="2AB05F27">
      <w:pPr>
        <w:pStyle w:val="7"/>
        <w:ind w:firstLine="640"/>
        <w:rPr>
          <w:rFonts w:hint="default" w:ascii="Times New Roman" w:hAnsi="Times New Roman" w:cs="Times New Roman"/>
          <w:b w:val="0"/>
          <w:bCs w:val="0"/>
          <w:color w:val="auto"/>
        </w:rPr>
      </w:pPr>
      <w:r>
        <w:rPr>
          <w:rFonts w:hint="default" w:ascii="Times New Roman" w:hAnsi="Times New Roman" w:cs="Times New Roman"/>
          <w:b w:val="0"/>
          <w:bCs w:val="0"/>
          <w:color w:val="auto"/>
        </w:rPr>
        <w:t>1.建设北部山地森林</w:t>
      </w:r>
      <w:bookmarkStart w:id="165" w:name="OLE_LINK48"/>
      <w:bookmarkStart w:id="166" w:name="OLE_LINK49"/>
      <w:r>
        <w:rPr>
          <w:rFonts w:hint="default" w:ascii="Times New Roman" w:hAnsi="Times New Roman" w:cs="Times New Roman"/>
          <w:b w:val="0"/>
          <w:bCs w:val="0"/>
          <w:color w:val="auto"/>
        </w:rPr>
        <w:t>片</w:t>
      </w:r>
      <w:bookmarkEnd w:id="165"/>
      <w:bookmarkEnd w:id="166"/>
      <w:r>
        <w:rPr>
          <w:rFonts w:hint="default" w:ascii="Times New Roman" w:hAnsi="Times New Roman" w:cs="Times New Roman"/>
          <w:b w:val="0"/>
          <w:bCs w:val="0"/>
          <w:color w:val="auto"/>
        </w:rPr>
        <w:t>区，打造木兰生态高地</w:t>
      </w:r>
    </w:p>
    <w:p w14:paraId="2766E9BA">
      <w:pPr>
        <w:ind w:firstLine="640"/>
        <w:jc w:val="both"/>
        <w:rPr>
          <w:rFonts w:hint="default" w:ascii="Times New Roman" w:hAnsi="Times New Roman" w:cs="Times New Roman"/>
          <w:color w:val="auto"/>
        </w:rPr>
      </w:pPr>
      <w:r>
        <w:rPr>
          <w:rFonts w:hint="default" w:ascii="Times New Roman" w:hAnsi="Times New Roman" w:cs="Times New Roman"/>
          <w:color w:val="auto"/>
        </w:rPr>
        <w:t>北部山地森林片区包括木兰山、云雾山、将军山等3个生物多样性保护优先区，着力打造木兰生态高地。</w:t>
      </w:r>
    </w:p>
    <w:p w14:paraId="0E5EB61A">
      <w:pPr>
        <w:pStyle w:val="8"/>
        <w:rPr>
          <w:rFonts w:hint="default" w:ascii="Times New Roman" w:hAnsi="Times New Roman" w:cs="Times New Roman"/>
          <w:b w:val="0"/>
          <w:bCs w:val="0"/>
          <w:color w:val="auto"/>
        </w:rPr>
      </w:pPr>
      <w:r>
        <w:rPr>
          <w:rFonts w:hint="default" w:ascii="Times New Roman" w:hAnsi="Times New Roman" w:cs="Times New Roman"/>
          <w:b w:val="0"/>
          <w:bCs w:val="0"/>
          <w:color w:val="auto"/>
        </w:rPr>
        <w:t>（1）木兰山生物多样性保护优先区</w:t>
      </w:r>
    </w:p>
    <w:p w14:paraId="39E48EC7">
      <w:pPr>
        <w:ind w:firstLine="640"/>
        <w:jc w:val="both"/>
        <w:rPr>
          <w:rFonts w:hint="default" w:ascii="Times New Roman" w:hAnsi="Times New Roman" w:cs="Times New Roman"/>
          <w:color w:val="auto"/>
        </w:rPr>
      </w:pPr>
      <w:r>
        <w:rPr>
          <w:rFonts w:hint="default" w:ascii="Times New Roman" w:hAnsi="Times New Roman" w:cs="Times New Roman"/>
          <w:color w:val="auto"/>
        </w:rPr>
        <w:t>以森林保护为主的优先区，以黄陂木兰山风景名胜区和木兰湖为主体，包含周边的生物多样性丰富区域。主要保护北亚热带常绿阔叶林及水源涵养林，古树名木以及海南</w:t>
      </w:r>
      <w:r>
        <w:rPr>
          <w:rFonts w:hint="default" w:ascii="Times New Roman" w:hAnsi="Times New Roman" w:eastAsia="仿宋" w:cs="Times New Roman"/>
          <w:color w:val="auto"/>
        </w:rPr>
        <w:t>鳽</w:t>
      </w:r>
      <w:r>
        <w:rPr>
          <w:rFonts w:hint="default" w:ascii="Times New Roman" w:hAnsi="Times New Roman" w:cs="Times New Roman"/>
          <w:color w:val="auto"/>
        </w:rPr>
        <w:t>、蓝喉蜂虎、画眉等珍稀濒危物种及其栖息地。</w:t>
      </w:r>
    </w:p>
    <w:p w14:paraId="060FDB1D">
      <w:pPr>
        <w:pStyle w:val="8"/>
        <w:rPr>
          <w:rFonts w:hint="default" w:ascii="Times New Roman" w:hAnsi="Times New Roman" w:cs="Times New Roman"/>
          <w:b w:val="0"/>
          <w:bCs w:val="0"/>
          <w:color w:val="auto"/>
        </w:rPr>
      </w:pPr>
      <w:r>
        <w:rPr>
          <w:rFonts w:hint="default" w:ascii="Times New Roman" w:hAnsi="Times New Roman" w:cs="Times New Roman"/>
          <w:b w:val="0"/>
          <w:bCs w:val="0"/>
          <w:color w:val="auto"/>
        </w:rPr>
        <w:t>（2）云雾山生物多样性保护优先区</w:t>
      </w:r>
    </w:p>
    <w:p w14:paraId="2E456FDA">
      <w:pPr>
        <w:pStyle w:val="8"/>
        <w:rPr>
          <w:rFonts w:hint="default" w:ascii="Times New Roman" w:hAnsi="Times New Roman" w:cs="Times New Roman"/>
          <w:b w:val="0"/>
          <w:bCs w:val="0"/>
          <w:color w:val="auto"/>
        </w:rPr>
      </w:pPr>
      <w:r>
        <w:rPr>
          <w:rFonts w:hint="default" w:ascii="Times New Roman" w:hAnsi="Times New Roman" w:cs="Times New Roman"/>
          <w:b w:val="0"/>
          <w:bCs w:val="0"/>
          <w:color w:val="auto"/>
        </w:rPr>
        <w:t>以森林保护为主的优先区，以黄陂森林公园及云雾山、姚家山等山脉为主。主要保护大型亚热带落叶阔叶林，古树名木以及国家二级重点保护野生动物大鲵及其栖息地。</w:t>
      </w:r>
    </w:p>
    <w:p w14:paraId="61A4D81B">
      <w:pPr>
        <w:pStyle w:val="8"/>
        <w:rPr>
          <w:rFonts w:hint="default" w:ascii="Times New Roman" w:hAnsi="Times New Roman" w:cs="Times New Roman"/>
          <w:b w:val="0"/>
          <w:bCs w:val="0"/>
          <w:color w:val="auto"/>
        </w:rPr>
      </w:pPr>
      <w:r>
        <w:rPr>
          <w:rFonts w:hint="default" w:ascii="Times New Roman" w:hAnsi="Times New Roman" w:cs="Times New Roman"/>
          <w:b w:val="0"/>
          <w:bCs w:val="0"/>
          <w:color w:val="auto"/>
        </w:rPr>
        <w:t>（3）将军山生物多样性保护优先区</w:t>
      </w:r>
    </w:p>
    <w:p w14:paraId="081C8A7C">
      <w:pPr>
        <w:ind w:firstLine="640"/>
        <w:jc w:val="both"/>
        <w:rPr>
          <w:rFonts w:hint="default" w:ascii="Times New Roman" w:hAnsi="Times New Roman" w:cs="Times New Roman"/>
          <w:color w:val="auto"/>
        </w:rPr>
      </w:pPr>
      <w:r>
        <w:rPr>
          <w:rFonts w:hint="default" w:ascii="Times New Roman" w:hAnsi="Times New Roman" w:cs="Times New Roman"/>
          <w:color w:val="auto"/>
        </w:rPr>
        <w:t>以森林保护为主的优先区，以将军山森林公园、道观河风景旅游区及大别山余脉为主体，包含周边的生物多样性丰富区域。主要保护针阔混交林及水源涵养林，古树名木以及珍稀物种及其栖息地。</w:t>
      </w:r>
    </w:p>
    <w:p w14:paraId="3420E328">
      <w:pPr>
        <w:pStyle w:val="7"/>
        <w:ind w:firstLine="640"/>
        <w:rPr>
          <w:rFonts w:hint="default" w:ascii="Times New Roman" w:hAnsi="Times New Roman" w:cs="Times New Roman"/>
          <w:b w:val="0"/>
          <w:bCs w:val="0"/>
          <w:color w:val="auto"/>
        </w:rPr>
      </w:pPr>
      <w:r>
        <w:rPr>
          <w:rFonts w:hint="default" w:ascii="Times New Roman" w:hAnsi="Times New Roman" w:cs="Times New Roman"/>
          <w:b w:val="0"/>
          <w:bCs w:val="0"/>
          <w:color w:val="auto"/>
        </w:rPr>
        <w:t>2.建设中部都市湿地片区，打造百里长江生态廊道和东湖生态绿心</w:t>
      </w:r>
    </w:p>
    <w:p w14:paraId="35BB99F5">
      <w:pPr>
        <w:ind w:firstLine="640"/>
        <w:jc w:val="both"/>
        <w:rPr>
          <w:rFonts w:hint="default" w:ascii="Times New Roman" w:hAnsi="Times New Roman" w:cs="Times New Roman"/>
          <w:color w:val="auto"/>
        </w:rPr>
      </w:pPr>
      <w:r>
        <w:rPr>
          <w:rFonts w:hint="default" w:ascii="Times New Roman" w:hAnsi="Times New Roman" w:cs="Times New Roman"/>
          <w:color w:val="auto"/>
        </w:rPr>
        <w:t>中部城市湿地片区包括长江干流武汉段、东湖、涨渡湖、草湖等4个生物多样性保护优先区，加快构建安全廊、生态廊、文化廊、交通廊、发展廊“五位一体”的百里长江生态廊道，重点打造山水城融合的东湖生态绿心。</w:t>
      </w:r>
    </w:p>
    <w:p w14:paraId="362AD85B">
      <w:pPr>
        <w:pStyle w:val="8"/>
        <w:rPr>
          <w:rFonts w:hint="default" w:ascii="Times New Roman" w:hAnsi="Times New Roman" w:cs="Times New Roman"/>
          <w:b w:val="0"/>
          <w:bCs w:val="0"/>
          <w:color w:val="auto"/>
        </w:rPr>
      </w:pPr>
      <w:bookmarkStart w:id="167" w:name="OLE_LINK12"/>
      <w:r>
        <w:rPr>
          <w:rFonts w:hint="default" w:ascii="Times New Roman" w:hAnsi="Times New Roman" w:cs="Times New Roman"/>
          <w:b w:val="0"/>
          <w:bCs w:val="0"/>
          <w:color w:val="auto"/>
        </w:rPr>
        <w:t>（4）长江干流武汉段</w:t>
      </w:r>
      <w:bookmarkEnd w:id="167"/>
      <w:r>
        <w:rPr>
          <w:rFonts w:hint="default" w:ascii="Times New Roman" w:hAnsi="Times New Roman" w:cs="Times New Roman"/>
          <w:b w:val="0"/>
          <w:bCs w:val="0"/>
          <w:color w:val="auto"/>
        </w:rPr>
        <w:t>生物多样性保护优先区</w:t>
      </w:r>
    </w:p>
    <w:p w14:paraId="423AC4AF">
      <w:pPr>
        <w:pStyle w:val="3"/>
        <w:ind w:firstLine="640"/>
        <w:rPr>
          <w:rFonts w:hint="default" w:ascii="Times New Roman" w:hAnsi="Times New Roman" w:cs="Times New Roman"/>
          <w:color w:val="auto"/>
        </w:rPr>
      </w:pPr>
      <w:r>
        <w:rPr>
          <w:rFonts w:hint="default" w:ascii="Times New Roman" w:hAnsi="Times New Roman" w:cs="Times New Roman"/>
          <w:color w:val="auto"/>
        </w:rPr>
        <w:t>以水生生物保护为主的优先区，以长江干流武汉段及八大水系为主体。主要保护长江中下游典型水生生物以及湿地珍稀水禽，包括国家一级重点保护野生动物长江江豚、中华鲟、鲥、东方白鹳等，以及极危物种</w:t>
      </w:r>
      <w:r>
        <w:rPr>
          <w:rFonts w:hint="default" w:ascii="Times New Roman" w:hAnsi="Times New Roman" w:eastAsia="仿宋" w:cs="Times New Roman"/>
          <w:color w:val="auto"/>
        </w:rPr>
        <w:t>鯮</w:t>
      </w:r>
      <w:r>
        <w:rPr>
          <w:rFonts w:hint="default" w:ascii="Times New Roman" w:hAnsi="Times New Roman" w:cs="Times New Roman"/>
          <w:color w:val="auto"/>
        </w:rPr>
        <w:t>、胭脂鱼等。</w:t>
      </w:r>
    </w:p>
    <w:p w14:paraId="5F9B4FEF">
      <w:pPr>
        <w:pStyle w:val="8"/>
        <w:rPr>
          <w:rFonts w:hint="default" w:ascii="Times New Roman" w:hAnsi="Times New Roman" w:cs="Times New Roman"/>
          <w:b w:val="0"/>
          <w:bCs w:val="0"/>
          <w:color w:val="auto"/>
        </w:rPr>
      </w:pPr>
      <w:r>
        <w:rPr>
          <w:rFonts w:hint="default" w:ascii="Times New Roman" w:hAnsi="Times New Roman" w:cs="Times New Roman"/>
          <w:b w:val="0"/>
          <w:bCs w:val="0"/>
          <w:color w:val="auto"/>
        </w:rPr>
        <w:t>（5）东湖生物多样性保护优先区</w:t>
      </w:r>
    </w:p>
    <w:p w14:paraId="2F22D732">
      <w:pPr>
        <w:ind w:firstLine="640"/>
        <w:jc w:val="both"/>
        <w:rPr>
          <w:rFonts w:hint="default" w:ascii="Times New Roman" w:hAnsi="Times New Roman" w:cs="Times New Roman"/>
          <w:color w:val="auto"/>
        </w:rPr>
      </w:pPr>
      <w:r>
        <w:rPr>
          <w:rFonts w:hint="default" w:ascii="Times New Roman" w:hAnsi="Times New Roman" w:cs="Times New Roman"/>
          <w:color w:val="auto"/>
        </w:rPr>
        <w:t>以湿地保护为主的优先区，以东湖国家级风景名胜区为主体，包含马鞍山森林公园等生物多样性丰富区域。主要保护淡水湿地生态系统，青头潜鸭和中华秋沙鸭等珍稀濒危水鸟及其栖息地。</w:t>
      </w:r>
    </w:p>
    <w:p w14:paraId="25D54E72">
      <w:pPr>
        <w:pStyle w:val="8"/>
        <w:rPr>
          <w:rFonts w:hint="default" w:ascii="Times New Roman" w:hAnsi="Times New Roman" w:cs="Times New Roman"/>
          <w:b w:val="0"/>
          <w:bCs w:val="0"/>
          <w:color w:val="auto"/>
        </w:rPr>
      </w:pPr>
      <w:r>
        <w:rPr>
          <w:rFonts w:hint="default" w:ascii="Times New Roman" w:hAnsi="Times New Roman" w:cs="Times New Roman"/>
          <w:b w:val="0"/>
          <w:bCs w:val="0"/>
          <w:color w:val="auto"/>
        </w:rPr>
        <w:t>（6）草湖生物多样性保护优先区</w:t>
      </w:r>
    </w:p>
    <w:p w14:paraId="1A220A96">
      <w:pPr>
        <w:ind w:firstLine="640"/>
        <w:jc w:val="both"/>
        <w:rPr>
          <w:rFonts w:hint="default" w:ascii="Times New Roman" w:hAnsi="Times New Roman" w:cs="Times New Roman"/>
          <w:color w:val="auto"/>
        </w:rPr>
      </w:pPr>
      <w:r>
        <w:rPr>
          <w:rFonts w:hint="default" w:ascii="Times New Roman" w:hAnsi="Times New Roman" w:cs="Times New Roman"/>
          <w:color w:val="auto"/>
        </w:rPr>
        <w:t>以湿地保护为主的优先区，以草湖湿地公园和</w:t>
      </w:r>
      <w:r>
        <w:rPr>
          <w:rFonts w:hint="default" w:ascii="Times New Roman" w:hAnsi="Times New Roman" w:cs="Times New Roman"/>
          <w:color w:val="auto"/>
          <w:lang w:eastAsia="zh-CN"/>
        </w:rPr>
        <w:t>长江新区</w:t>
      </w:r>
      <w:r>
        <w:rPr>
          <w:rFonts w:hint="default" w:ascii="Times New Roman" w:hAnsi="Times New Roman" w:cs="Times New Roman"/>
          <w:color w:val="auto"/>
        </w:rPr>
        <w:t>武湖为主体的天然和人工湿地结合体，包含周边的生物多样性丰富区域。主要保护淡水湿地生态系统，东方白鹳、白鹤、小天鹅和白琵鹭等珍稀濒危水鸟，尖头</w:t>
      </w:r>
      <w:r>
        <w:rPr>
          <w:rFonts w:hint="default" w:ascii="Times New Roman" w:hAnsi="Times New Roman" w:eastAsia="仿宋" w:cs="Times New Roman"/>
          <w:color w:val="auto"/>
        </w:rPr>
        <w:t>鲌</w:t>
      </w:r>
      <w:r>
        <w:rPr>
          <w:rFonts w:hint="default" w:ascii="Times New Roman" w:hAnsi="Times New Roman" w:cs="Times New Roman"/>
          <w:color w:val="auto"/>
        </w:rPr>
        <w:t>、团头鲂、紫薄鳅、似刺鳊</w:t>
      </w:r>
      <w:r>
        <w:rPr>
          <w:rFonts w:hint="default" w:ascii="Times New Roman" w:hAnsi="Times New Roman" w:eastAsia="仿宋" w:cs="Times New Roman"/>
          <w:color w:val="auto"/>
        </w:rPr>
        <w:t>鮈</w:t>
      </w:r>
      <w:r>
        <w:rPr>
          <w:rFonts w:hint="default" w:ascii="Times New Roman" w:hAnsi="Times New Roman" w:cs="Times New Roman"/>
          <w:color w:val="auto"/>
        </w:rPr>
        <w:t>、亮银</w:t>
      </w:r>
      <w:r>
        <w:rPr>
          <w:rFonts w:hint="default" w:ascii="Times New Roman" w:hAnsi="Times New Roman" w:eastAsia="仿宋" w:cs="Times New Roman"/>
          <w:color w:val="auto"/>
        </w:rPr>
        <w:t>鮈</w:t>
      </w:r>
      <w:r>
        <w:rPr>
          <w:rFonts w:hint="default" w:ascii="Times New Roman" w:hAnsi="Times New Roman" w:cs="Times New Roman"/>
          <w:color w:val="auto"/>
        </w:rPr>
        <w:t>、光唇蛇</w:t>
      </w:r>
      <w:r>
        <w:rPr>
          <w:rFonts w:hint="default" w:ascii="Times New Roman" w:hAnsi="Times New Roman" w:eastAsia="仿宋" w:cs="Times New Roman"/>
          <w:color w:val="auto"/>
        </w:rPr>
        <w:t>鮈</w:t>
      </w:r>
      <w:r>
        <w:rPr>
          <w:rFonts w:hint="default" w:ascii="Times New Roman" w:hAnsi="Times New Roman" w:cs="Times New Roman"/>
          <w:color w:val="auto"/>
        </w:rPr>
        <w:t>、细体拟</w:t>
      </w:r>
      <w:r>
        <w:rPr>
          <w:rFonts w:hint="default" w:ascii="Times New Roman" w:hAnsi="Times New Roman" w:eastAsia="仿宋" w:cs="Times New Roman"/>
          <w:color w:val="auto"/>
        </w:rPr>
        <w:t>鲿</w:t>
      </w:r>
      <w:r>
        <w:rPr>
          <w:rFonts w:hint="default" w:ascii="Times New Roman" w:hAnsi="Times New Roman" w:cs="Times New Roman"/>
          <w:color w:val="auto"/>
        </w:rPr>
        <w:t>等长江水系特有鱼类，以及日本鳗鲡、</w:t>
      </w:r>
      <w:r>
        <w:rPr>
          <w:rFonts w:hint="default" w:ascii="Times New Roman" w:hAnsi="Times New Roman" w:eastAsia="仿宋" w:cs="Times New Roman"/>
          <w:color w:val="auto"/>
        </w:rPr>
        <w:t>鳤、鳡</w:t>
      </w:r>
      <w:r>
        <w:rPr>
          <w:rFonts w:hint="default" w:ascii="Times New Roman" w:hAnsi="Times New Roman" w:cs="Times New Roman"/>
          <w:color w:val="auto"/>
        </w:rPr>
        <w:t>等珍贵洄游鱼类及其栖息地。</w:t>
      </w:r>
    </w:p>
    <w:p w14:paraId="0F1CD0CB">
      <w:pPr>
        <w:pStyle w:val="8"/>
        <w:rPr>
          <w:rFonts w:hint="default" w:ascii="Times New Roman" w:hAnsi="Times New Roman" w:cs="Times New Roman"/>
          <w:b w:val="0"/>
          <w:bCs w:val="0"/>
          <w:color w:val="auto"/>
        </w:rPr>
      </w:pPr>
      <w:r>
        <w:rPr>
          <w:rFonts w:hint="default" w:ascii="Times New Roman" w:hAnsi="Times New Roman" w:cs="Times New Roman"/>
          <w:b w:val="0"/>
          <w:bCs w:val="0"/>
          <w:color w:val="auto"/>
        </w:rPr>
        <w:t>（7）涨渡湖生物多样性保护优先区</w:t>
      </w:r>
    </w:p>
    <w:p w14:paraId="05B715BE">
      <w:pPr>
        <w:ind w:firstLine="640"/>
        <w:jc w:val="both"/>
        <w:rPr>
          <w:rFonts w:hint="default" w:ascii="Times New Roman" w:hAnsi="Times New Roman" w:cs="Times New Roman"/>
          <w:color w:val="auto"/>
        </w:rPr>
      </w:pPr>
      <w:r>
        <w:rPr>
          <w:rFonts w:hint="default" w:ascii="Times New Roman" w:hAnsi="Times New Roman" w:cs="Times New Roman"/>
          <w:color w:val="auto"/>
        </w:rPr>
        <w:t>以湿地保护为主的优先区，以涨渡湖自然保护区为主体。主要保护水生和陆生植物及其共同组成的淡水湿地生态系统，以及粗梗水蕨、东方白鹳、小鸦鹃、红隼、普通</w:t>
      </w:r>
      <w:r>
        <w:rPr>
          <w:rFonts w:hint="default" w:ascii="Times New Roman" w:hAnsi="Times New Roman" w:eastAsia="仿宋" w:cs="Times New Roman"/>
          <w:color w:val="auto"/>
        </w:rPr>
        <w:t>鵟</w:t>
      </w:r>
      <w:r>
        <w:rPr>
          <w:rFonts w:hint="default" w:ascii="Times New Roman" w:hAnsi="Times New Roman" w:cs="Times New Roman"/>
          <w:color w:val="auto"/>
        </w:rPr>
        <w:t>、斑头鸺</w:t>
      </w:r>
      <w:r>
        <w:rPr>
          <w:rFonts w:hint="default" w:ascii="Times New Roman" w:hAnsi="Times New Roman" w:eastAsia="仿宋" w:cs="Times New Roman"/>
          <w:color w:val="auto"/>
        </w:rPr>
        <w:t>鹠</w:t>
      </w:r>
      <w:r>
        <w:rPr>
          <w:rFonts w:hint="default" w:ascii="Times New Roman" w:hAnsi="Times New Roman" w:cs="Times New Roman"/>
          <w:color w:val="auto"/>
        </w:rPr>
        <w:t>等珍稀濒危物种及其生境。</w:t>
      </w:r>
    </w:p>
    <w:p w14:paraId="2833BF3B">
      <w:pPr>
        <w:pStyle w:val="7"/>
        <w:ind w:firstLine="640"/>
        <w:rPr>
          <w:rFonts w:hint="default" w:ascii="Times New Roman" w:hAnsi="Times New Roman" w:cs="Times New Roman"/>
          <w:b w:val="0"/>
          <w:bCs w:val="0"/>
          <w:color w:val="auto"/>
        </w:rPr>
      </w:pPr>
      <w:r>
        <w:rPr>
          <w:rFonts w:hint="default" w:ascii="Times New Roman" w:hAnsi="Times New Roman" w:cs="Times New Roman"/>
          <w:b w:val="0"/>
          <w:bCs w:val="0"/>
          <w:color w:val="auto"/>
        </w:rPr>
        <w:t>3.建设西南湖泊山地</w:t>
      </w:r>
      <w:bookmarkStart w:id="168" w:name="OLE_LINK50"/>
      <w:r>
        <w:rPr>
          <w:rFonts w:hint="default" w:ascii="Times New Roman" w:hAnsi="Times New Roman" w:cs="Times New Roman"/>
          <w:b w:val="0"/>
          <w:bCs w:val="0"/>
          <w:color w:val="auto"/>
        </w:rPr>
        <w:t>片区</w:t>
      </w:r>
      <w:bookmarkEnd w:id="168"/>
      <w:r>
        <w:rPr>
          <w:rFonts w:hint="default" w:ascii="Times New Roman" w:hAnsi="Times New Roman" w:cs="Times New Roman"/>
          <w:b w:val="0"/>
          <w:bCs w:val="0"/>
          <w:color w:val="auto"/>
        </w:rPr>
        <w:t>，打造沉湖国际湿地生态窗口</w:t>
      </w:r>
    </w:p>
    <w:p w14:paraId="2CF25FE5">
      <w:pPr>
        <w:pStyle w:val="3"/>
        <w:ind w:firstLine="640"/>
        <w:rPr>
          <w:rFonts w:hint="default" w:ascii="Times New Roman" w:hAnsi="Times New Roman" w:cs="Times New Roman"/>
          <w:color w:val="auto"/>
        </w:rPr>
      </w:pPr>
      <w:r>
        <w:rPr>
          <w:rFonts w:hint="default" w:ascii="Times New Roman" w:hAnsi="Times New Roman" w:cs="Times New Roman"/>
          <w:color w:val="auto"/>
        </w:rPr>
        <w:t>西南湖泊山地片区包括沉湖、后官湖、九真山等3个生物多样性保护优先区，重点打造沉湖国际湿地生态窗口。</w:t>
      </w:r>
    </w:p>
    <w:p w14:paraId="576CC7C6">
      <w:pPr>
        <w:pStyle w:val="8"/>
        <w:rPr>
          <w:rFonts w:hint="default" w:ascii="Times New Roman" w:hAnsi="Times New Roman" w:cs="Times New Roman"/>
          <w:b w:val="0"/>
          <w:bCs w:val="0"/>
          <w:color w:val="auto"/>
        </w:rPr>
      </w:pPr>
      <w:r>
        <w:rPr>
          <w:rFonts w:hint="default" w:ascii="Times New Roman" w:hAnsi="Times New Roman" w:cs="Times New Roman"/>
          <w:b w:val="0"/>
          <w:bCs w:val="0"/>
          <w:color w:val="auto"/>
        </w:rPr>
        <w:t>（8）沉湖生物多样性保护优先区</w:t>
      </w:r>
    </w:p>
    <w:p w14:paraId="1DB289BE">
      <w:pPr>
        <w:ind w:firstLine="640"/>
        <w:jc w:val="both"/>
        <w:rPr>
          <w:rFonts w:hint="default" w:ascii="Times New Roman" w:hAnsi="Times New Roman" w:cs="Times New Roman"/>
          <w:color w:val="auto"/>
        </w:rPr>
      </w:pPr>
      <w:r>
        <w:rPr>
          <w:rFonts w:hint="default" w:ascii="Times New Roman" w:hAnsi="Times New Roman" w:cs="Times New Roman"/>
          <w:color w:val="auto"/>
        </w:rPr>
        <w:t>以湿地保护为主的优先区，以沉湖湿地自然保护区和桐湖湿地公园为主体，包含周边的生物多样性丰富区域。主要保护淡水湿地生态系统，东方白鹳、黑鹳、小天鹅、粗梗水蕨、野菱等国家重点保护野生动植物及其生境。</w:t>
      </w:r>
    </w:p>
    <w:p w14:paraId="509E065D">
      <w:pPr>
        <w:pStyle w:val="8"/>
        <w:rPr>
          <w:rFonts w:hint="default" w:ascii="Times New Roman" w:hAnsi="Times New Roman" w:cs="Times New Roman"/>
          <w:b w:val="0"/>
          <w:bCs w:val="0"/>
          <w:color w:val="auto"/>
        </w:rPr>
      </w:pPr>
      <w:r>
        <w:rPr>
          <w:rFonts w:hint="default" w:ascii="Times New Roman" w:hAnsi="Times New Roman" w:cs="Times New Roman"/>
          <w:b w:val="0"/>
          <w:bCs w:val="0"/>
          <w:color w:val="auto"/>
        </w:rPr>
        <w:t>（9）后官湖生物多样性保护优先区</w:t>
      </w:r>
    </w:p>
    <w:p w14:paraId="09304DBD">
      <w:pPr>
        <w:ind w:firstLine="640"/>
        <w:jc w:val="both"/>
        <w:rPr>
          <w:rFonts w:hint="default" w:ascii="Times New Roman" w:hAnsi="Times New Roman" w:cs="Times New Roman"/>
          <w:color w:val="auto"/>
        </w:rPr>
      </w:pPr>
      <w:r>
        <w:rPr>
          <w:rFonts w:hint="default" w:ascii="Times New Roman" w:hAnsi="Times New Roman" w:cs="Times New Roman"/>
          <w:color w:val="auto"/>
        </w:rPr>
        <w:t>以湿地保护为主的优先区，以后官湖国家级湿地公园为主体，包含周边的生物多样性丰富区域。主要保护淡水湿地生态系统，白琵鹭、灰鹤、黑鸢、赤腹鹰、普通</w:t>
      </w:r>
      <w:r>
        <w:rPr>
          <w:rFonts w:hint="default" w:ascii="Times New Roman" w:hAnsi="Times New Roman" w:eastAsia="仿宋" w:cs="Times New Roman"/>
          <w:color w:val="auto"/>
        </w:rPr>
        <w:t>鵟</w:t>
      </w:r>
      <w:r>
        <w:rPr>
          <w:rFonts w:hint="default" w:ascii="Times New Roman" w:hAnsi="Times New Roman" w:cs="Times New Roman"/>
          <w:color w:val="auto"/>
        </w:rPr>
        <w:t>等国家重点保护野生鸟类，</w:t>
      </w:r>
      <w:r>
        <w:rPr>
          <w:rFonts w:hint="default" w:ascii="Times New Roman" w:hAnsi="Times New Roman" w:eastAsia="仿宋" w:cs="Times New Roman"/>
          <w:color w:val="auto"/>
        </w:rPr>
        <w:t>鯮</w:t>
      </w:r>
      <w:r>
        <w:rPr>
          <w:rFonts w:hint="default" w:ascii="Times New Roman" w:hAnsi="Times New Roman" w:cs="Times New Roman"/>
          <w:color w:val="auto"/>
        </w:rPr>
        <w:t>、</w:t>
      </w:r>
      <w:r>
        <w:rPr>
          <w:rFonts w:hint="default" w:ascii="Times New Roman" w:hAnsi="Times New Roman" w:eastAsia="仿宋" w:cs="Times New Roman"/>
          <w:color w:val="auto"/>
        </w:rPr>
        <w:t>鳤</w:t>
      </w:r>
      <w:r>
        <w:rPr>
          <w:rFonts w:hint="default" w:ascii="Times New Roman" w:hAnsi="Times New Roman" w:cs="Times New Roman"/>
          <w:color w:val="auto"/>
        </w:rPr>
        <w:t>、光唇蛇</w:t>
      </w:r>
      <w:r>
        <w:rPr>
          <w:rFonts w:hint="default" w:ascii="Times New Roman" w:hAnsi="Times New Roman" w:eastAsia="仿宋" w:cs="Times New Roman"/>
          <w:color w:val="auto"/>
        </w:rPr>
        <w:t>鮈</w:t>
      </w:r>
      <w:r>
        <w:rPr>
          <w:rFonts w:hint="default" w:ascii="Times New Roman" w:hAnsi="Times New Roman" w:cs="Times New Roman"/>
          <w:color w:val="auto"/>
        </w:rPr>
        <w:t>、长吻</w:t>
      </w:r>
      <w:r>
        <w:rPr>
          <w:rFonts w:hint="default" w:ascii="Times New Roman" w:hAnsi="Times New Roman" w:eastAsia="仿宋" w:cs="Times New Roman"/>
          <w:color w:val="auto"/>
        </w:rPr>
        <w:t>鮠</w:t>
      </w:r>
      <w:r>
        <w:rPr>
          <w:rFonts w:hint="default" w:ascii="Times New Roman" w:hAnsi="Times New Roman" w:cs="Times New Roman"/>
          <w:color w:val="auto"/>
        </w:rPr>
        <w:t>等省级重点保护鱼类及其栖息地。</w:t>
      </w:r>
    </w:p>
    <w:p w14:paraId="2B0DF647">
      <w:pPr>
        <w:pStyle w:val="8"/>
        <w:rPr>
          <w:rFonts w:hint="default" w:ascii="Times New Roman" w:hAnsi="Times New Roman" w:cs="Times New Roman"/>
          <w:b w:val="0"/>
          <w:bCs w:val="0"/>
          <w:color w:val="auto"/>
        </w:rPr>
      </w:pPr>
      <w:r>
        <w:rPr>
          <w:rFonts w:hint="default" w:ascii="Times New Roman" w:hAnsi="Times New Roman" w:cs="Times New Roman"/>
          <w:b w:val="0"/>
          <w:bCs w:val="0"/>
          <w:color w:val="auto"/>
        </w:rPr>
        <w:t>（10）九真山生物多样性保护优先区</w:t>
      </w:r>
    </w:p>
    <w:p w14:paraId="23C513AC">
      <w:pPr>
        <w:ind w:firstLine="640"/>
        <w:jc w:val="both"/>
        <w:rPr>
          <w:rFonts w:hint="default" w:ascii="Times New Roman" w:hAnsi="Times New Roman" w:cs="Times New Roman"/>
          <w:color w:val="auto"/>
        </w:rPr>
      </w:pPr>
      <w:r>
        <w:rPr>
          <w:rFonts w:hint="default" w:ascii="Times New Roman" w:hAnsi="Times New Roman" w:cs="Times New Roman"/>
          <w:color w:val="auto"/>
        </w:rPr>
        <w:t>以森林保护为主的优先区，以九真森林公园、嵩阳森林公园和索子长河湿地公园为主体，包含周边的生物多样性丰富区域。主要保护亚热带常绿阔叶林及水源涵养林，以及珍稀濒危物种及其栖息地。</w:t>
      </w:r>
    </w:p>
    <w:p w14:paraId="0DB8430E">
      <w:pPr>
        <w:pStyle w:val="7"/>
        <w:ind w:firstLine="640"/>
        <w:rPr>
          <w:rFonts w:hint="default" w:ascii="Times New Roman" w:hAnsi="Times New Roman" w:cs="Times New Roman"/>
          <w:b w:val="0"/>
          <w:bCs w:val="0"/>
          <w:color w:val="auto"/>
        </w:rPr>
      </w:pPr>
      <w:r>
        <w:rPr>
          <w:rFonts w:hint="default" w:ascii="Times New Roman" w:hAnsi="Times New Roman" w:cs="Times New Roman"/>
          <w:b w:val="0"/>
          <w:bCs w:val="0"/>
          <w:color w:val="auto"/>
        </w:rPr>
        <w:t>4.建设东南自然湿地</w:t>
      </w:r>
      <w:bookmarkStart w:id="169" w:name="OLE_LINK52"/>
      <w:bookmarkStart w:id="170" w:name="OLE_LINK51"/>
      <w:r>
        <w:rPr>
          <w:rFonts w:hint="default" w:ascii="Times New Roman" w:hAnsi="Times New Roman" w:cs="Times New Roman"/>
          <w:b w:val="0"/>
          <w:bCs w:val="0"/>
          <w:color w:val="auto"/>
        </w:rPr>
        <w:t>片</w:t>
      </w:r>
      <w:bookmarkEnd w:id="169"/>
      <w:bookmarkEnd w:id="170"/>
      <w:r>
        <w:rPr>
          <w:rFonts w:hint="default" w:ascii="Times New Roman" w:hAnsi="Times New Roman" w:cs="Times New Roman"/>
          <w:b w:val="0"/>
          <w:bCs w:val="0"/>
          <w:color w:val="auto"/>
        </w:rPr>
        <w:t>区，打造湖泊湿地治理生态样板</w:t>
      </w:r>
    </w:p>
    <w:p w14:paraId="17E21E4E">
      <w:pPr>
        <w:pStyle w:val="3"/>
        <w:ind w:firstLine="640"/>
        <w:rPr>
          <w:rFonts w:hint="default" w:ascii="Times New Roman" w:hAnsi="Times New Roman" w:cs="Times New Roman"/>
          <w:color w:val="auto"/>
        </w:rPr>
      </w:pPr>
      <w:r>
        <w:rPr>
          <w:rFonts w:hint="default" w:ascii="Times New Roman" w:hAnsi="Times New Roman" w:cs="Times New Roman"/>
          <w:color w:val="auto"/>
        </w:rPr>
        <w:t>东南自然湿地片区包括上涉湖、梁子湖等2个生物多样性保护优先区，重点打造东南湖泊治理生态样板。</w:t>
      </w:r>
    </w:p>
    <w:p w14:paraId="56F5218A">
      <w:pPr>
        <w:pStyle w:val="8"/>
        <w:rPr>
          <w:rFonts w:hint="default" w:ascii="Times New Roman" w:hAnsi="Times New Roman" w:cs="Times New Roman"/>
          <w:b w:val="0"/>
          <w:bCs w:val="0"/>
          <w:color w:val="auto"/>
        </w:rPr>
      </w:pPr>
      <w:r>
        <w:rPr>
          <w:rFonts w:hint="default" w:ascii="Times New Roman" w:hAnsi="Times New Roman" w:cs="Times New Roman"/>
          <w:b w:val="0"/>
          <w:bCs w:val="0"/>
          <w:color w:val="auto"/>
        </w:rPr>
        <w:t>（11）上涉湖生物多样性保护优先区</w:t>
      </w:r>
    </w:p>
    <w:p w14:paraId="5BE4753F">
      <w:pPr>
        <w:ind w:firstLine="640"/>
        <w:jc w:val="both"/>
        <w:rPr>
          <w:rFonts w:hint="default" w:ascii="Times New Roman" w:hAnsi="Times New Roman" w:cs="Times New Roman"/>
          <w:color w:val="auto"/>
        </w:rPr>
      </w:pPr>
      <w:r>
        <w:rPr>
          <w:rFonts w:hint="default" w:ascii="Times New Roman" w:hAnsi="Times New Roman" w:cs="Times New Roman"/>
          <w:color w:val="auto"/>
        </w:rPr>
        <w:t>以湿地保护为主的优先区，以上涉湖湿地自然保护区和安山国家级湿地公园为主体，包含斧头湖等周边的生物多样性丰富区域。主要保护淡水湿地生态系统，东方白鹳、黑鹳、白鹤、青头潜鸭、粗梗水蕨、野菱等国家重点保护野生动植物及其生境。</w:t>
      </w:r>
    </w:p>
    <w:p w14:paraId="76EAB367">
      <w:pPr>
        <w:pStyle w:val="8"/>
        <w:rPr>
          <w:rFonts w:hint="default" w:ascii="Times New Roman" w:hAnsi="Times New Roman" w:cs="Times New Roman"/>
          <w:b w:val="0"/>
          <w:bCs w:val="0"/>
          <w:color w:val="auto"/>
        </w:rPr>
      </w:pPr>
      <w:r>
        <w:rPr>
          <w:rFonts w:hint="default" w:ascii="Times New Roman" w:hAnsi="Times New Roman" w:cs="Times New Roman"/>
          <w:b w:val="0"/>
          <w:bCs w:val="0"/>
          <w:color w:val="auto"/>
        </w:rPr>
        <w:t>（12）梁子湖生物多样性保护优先区</w:t>
      </w:r>
    </w:p>
    <w:p w14:paraId="44A9798F">
      <w:pPr>
        <w:pStyle w:val="3"/>
        <w:ind w:firstLine="640"/>
        <w:rPr>
          <w:rFonts w:hint="default" w:ascii="Times New Roman" w:hAnsi="Times New Roman" w:cs="Times New Roman"/>
          <w:color w:val="auto"/>
        </w:rPr>
      </w:pPr>
      <w:r>
        <w:rPr>
          <w:rFonts w:hint="default" w:ascii="Times New Roman" w:hAnsi="Times New Roman" w:cs="Times New Roman"/>
          <w:color w:val="auto"/>
        </w:rPr>
        <w:t>以湿地保护为主的优先区，以梁子湖湿地自然保护区为主体，包含周边的生物多样性丰富区域。主要保护淡水湿地生态系统，东方白鹳、白琵鹭、野菱等国家重点保护野生动植物及其生境。</w:t>
      </w:r>
    </w:p>
    <w:p w14:paraId="4BD639C1">
      <w:pPr>
        <w:ind w:firstLine="640"/>
        <w:jc w:val="both"/>
        <w:rPr>
          <w:rFonts w:hint="default" w:ascii="Times New Roman" w:hAnsi="Times New Roman" w:cs="Times New Roman"/>
          <w:color w:val="auto"/>
        </w:rPr>
      </w:pPr>
      <w:r>
        <w:rPr>
          <w:rFonts w:hint="default" w:ascii="Times New Roman" w:hAnsi="Times New Roman" w:cs="Times New Roman"/>
          <w:color w:val="auto"/>
        </w:rPr>
        <w:br w:type="page"/>
      </w:r>
    </w:p>
    <w:p w14:paraId="3640FE42">
      <w:pPr>
        <w:pStyle w:val="5"/>
        <w:spacing w:before="312" w:after="312"/>
        <w:rPr>
          <w:rFonts w:hint="default" w:ascii="Times New Roman" w:hAnsi="Times New Roman" w:cs="Times New Roman"/>
          <w:b w:val="0"/>
          <w:bCs w:val="0"/>
          <w:color w:val="auto"/>
        </w:rPr>
      </w:pPr>
      <w:bookmarkStart w:id="171" w:name="_Toc194476145"/>
      <w:bookmarkStart w:id="172" w:name="_Toc22125"/>
      <w:bookmarkStart w:id="173" w:name="_Toc9060"/>
      <w:r>
        <w:rPr>
          <w:rFonts w:hint="default" w:ascii="Times New Roman" w:hAnsi="Times New Roman" w:cs="Times New Roman"/>
          <w:b w:val="0"/>
          <w:bCs w:val="0"/>
          <w:color w:val="auto"/>
        </w:rPr>
        <w:t xml:space="preserve">第五章  </w:t>
      </w:r>
      <w:bookmarkStart w:id="174" w:name="_Toc23097"/>
      <w:bookmarkStart w:id="175" w:name="_Toc11102"/>
      <w:bookmarkStart w:id="176" w:name="_Toc29198"/>
      <w:bookmarkStart w:id="177" w:name="_Toc147668083"/>
      <w:r>
        <w:rPr>
          <w:rFonts w:hint="default" w:ascii="Times New Roman" w:hAnsi="Times New Roman" w:cs="Times New Roman"/>
          <w:b w:val="0"/>
          <w:bCs w:val="0"/>
          <w:color w:val="auto"/>
        </w:rPr>
        <w:t>生物多样性保护优先领域与优先行动</w:t>
      </w:r>
      <w:bookmarkEnd w:id="171"/>
      <w:bookmarkEnd w:id="172"/>
      <w:bookmarkEnd w:id="173"/>
      <w:bookmarkEnd w:id="174"/>
      <w:bookmarkEnd w:id="175"/>
      <w:bookmarkEnd w:id="176"/>
      <w:bookmarkEnd w:id="177"/>
    </w:p>
    <w:p w14:paraId="405119AB">
      <w:pPr>
        <w:pStyle w:val="6"/>
        <w:ind w:firstLine="640"/>
        <w:jc w:val="both"/>
        <w:rPr>
          <w:rFonts w:hint="default" w:ascii="Times New Roman" w:hAnsi="Times New Roman" w:cs="Times New Roman"/>
          <w:b w:val="0"/>
          <w:bCs w:val="0"/>
          <w:color w:val="auto"/>
        </w:rPr>
      </w:pPr>
      <w:bookmarkStart w:id="178" w:name="_Toc25887"/>
      <w:bookmarkStart w:id="179" w:name="_Toc9787"/>
      <w:bookmarkStart w:id="180" w:name="_Toc25099"/>
      <w:bookmarkStart w:id="181" w:name="_Toc30297"/>
      <w:bookmarkStart w:id="182" w:name="_Toc7923"/>
      <w:bookmarkStart w:id="183" w:name="_Toc147668084"/>
      <w:bookmarkStart w:id="184" w:name="_Toc194476146"/>
      <w:r>
        <w:rPr>
          <w:rFonts w:hint="default" w:ascii="Times New Roman" w:hAnsi="Times New Roman" w:cs="Times New Roman"/>
          <w:b w:val="0"/>
          <w:bCs w:val="0"/>
          <w:color w:val="auto"/>
        </w:rPr>
        <w:t>领域一：</w:t>
      </w:r>
      <w:bookmarkEnd w:id="178"/>
      <w:bookmarkEnd w:id="179"/>
      <w:bookmarkEnd w:id="180"/>
      <w:bookmarkEnd w:id="181"/>
      <w:bookmarkEnd w:id="182"/>
      <w:bookmarkEnd w:id="183"/>
      <w:r>
        <w:rPr>
          <w:rFonts w:hint="default" w:ascii="Times New Roman" w:hAnsi="Times New Roman" w:cs="Times New Roman"/>
          <w:b w:val="0"/>
          <w:bCs w:val="0"/>
          <w:color w:val="auto"/>
        </w:rPr>
        <w:t>深入推进生物多样性主流化</w:t>
      </w:r>
      <w:bookmarkEnd w:id="184"/>
    </w:p>
    <w:p w14:paraId="2C60F2D6">
      <w:pPr>
        <w:pStyle w:val="7"/>
        <w:ind w:firstLine="640"/>
        <w:jc w:val="both"/>
        <w:rPr>
          <w:rFonts w:hint="default" w:ascii="Times New Roman" w:hAnsi="Times New Roman" w:cs="Times New Roman"/>
          <w:b w:val="0"/>
          <w:bCs w:val="0"/>
          <w:color w:val="auto"/>
        </w:rPr>
      </w:pPr>
      <w:bookmarkStart w:id="185" w:name="_Toc18917"/>
      <w:bookmarkStart w:id="186" w:name="_Toc147668085"/>
      <w:bookmarkStart w:id="187" w:name="_Toc4788"/>
      <w:r>
        <w:rPr>
          <w:rFonts w:hint="default" w:ascii="Times New Roman" w:hAnsi="Times New Roman" w:cs="Times New Roman"/>
          <w:b w:val="0"/>
          <w:bCs w:val="0"/>
          <w:color w:val="auto"/>
        </w:rPr>
        <w:t>行动1：完善生物多样性保护政策法规体系</w:t>
      </w:r>
      <w:bookmarkEnd w:id="185"/>
      <w:bookmarkEnd w:id="186"/>
      <w:bookmarkEnd w:id="187"/>
    </w:p>
    <w:p w14:paraId="578ADCC6">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行动目标：健全政策法规体系，依法依规保护和开发利用</w:t>
      </w:r>
    </w:p>
    <w:p w14:paraId="017D7CEF">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全面落实国家和湖北省出台的生物多样性保护和监管制度，围绕生态环境法典立改废释探索推动武汉市生物多样性保护与管理相关立法工作，推进湿地保护地方立法。落实生态环境损害赔偿制度，完善生态保护补偿机制，探索多样化的生态赔偿或补偿方式。研究制定有利于生物多样性保护与可持续利用的激励性政策。</w:t>
      </w:r>
    </w:p>
    <w:p w14:paraId="4C8624F3">
      <w:pPr>
        <w:pStyle w:val="7"/>
        <w:ind w:firstLine="640"/>
        <w:jc w:val="both"/>
        <w:rPr>
          <w:rFonts w:hint="default" w:ascii="Times New Roman" w:hAnsi="Times New Roman" w:cs="Times New Roman"/>
          <w:b w:val="0"/>
          <w:bCs w:val="0"/>
          <w:color w:val="auto"/>
        </w:rPr>
      </w:pPr>
      <w:bookmarkStart w:id="188" w:name="_Toc147668086"/>
      <w:bookmarkStart w:id="189" w:name="_Toc16033"/>
      <w:bookmarkStart w:id="190" w:name="_Toc8993"/>
      <w:r>
        <w:rPr>
          <w:rFonts w:hint="default" w:ascii="Times New Roman" w:hAnsi="Times New Roman" w:cs="Times New Roman"/>
          <w:b w:val="0"/>
          <w:bCs w:val="0"/>
          <w:color w:val="auto"/>
        </w:rPr>
        <w:t>行动2：健全生物多样性保护管理体制机制</w:t>
      </w:r>
      <w:bookmarkEnd w:id="188"/>
      <w:bookmarkEnd w:id="189"/>
      <w:bookmarkEnd w:id="190"/>
    </w:p>
    <w:p w14:paraId="09953E9C">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行动目标：健全体制机制，提高保护工作效率</w:t>
      </w:r>
    </w:p>
    <w:p w14:paraId="2C416DB0">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完善生物多样性保护系统治理机制，理顺相关部门在生物多样性保护方面的职责，分工负责做好生物多样性保护工作。加强相关部门信息共享，建立健全部门联动联合执法机制，提升执法力度，严查破坏生物多样性的违法行为，切实形成保护合力。将生物多样性保护与可持续利用相关内容纳入武汉市各级政府以及相关政府部门的规划计划，推动其在政府决策中的主流化。</w:t>
      </w:r>
    </w:p>
    <w:p w14:paraId="3B59B7E8">
      <w:pPr>
        <w:pStyle w:val="7"/>
        <w:ind w:firstLine="640"/>
        <w:jc w:val="both"/>
        <w:rPr>
          <w:rFonts w:hint="default" w:ascii="Times New Roman" w:hAnsi="Times New Roman" w:cs="Times New Roman"/>
          <w:b w:val="0"/>
          <w:bCs w:val="0"/>
          <w:color w:val="auto"/>
        </w:rPr>
      </w:pPr>
      <w:bookmarkStart w:id="191" w:name="_Toc24994"/>
      <w:bookmarkStart w:id="192" w:name="_Toc24778"/>
      <w:bookmarkStart w:id="193" w:name="_Toc147668088"/>
      <w:r>
        <w:rPr>
          <w:rFonts w:hint="default" w:ascii="Times New Roman" w:hAnsi="Times New Roman" w:cs="Times New Roman"/>
          <w:b w:val="0"/>
          <w:bCs w:val="0"/>
          <w:color w:val="auto"/>
        </w:rPr>
        <w:t>行动3：探索企业保护和可持续利用生物多样性机制</w:t>
      </w:r>
      <w:bookmarkEnd w:id="191"/>
      <w:bookmarkEnd w:id="192"/>
      <w:bookmarkEnd w:id="193"/>
    </w:p>
    <w:p w14:paraId="7C0BDB6A">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行动目标：健全企业参与机制，推动多方参与生物多样性治理</w:t>
      </w:r>
    </w:p>
    <w:p w14:paraId="31037DE0">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科学评估武汉市企业经营活动对生物多样性影响，倡导企业进一步规范建设活动，打造生物多样性友好厂区。探索建立企业保护和可持续利用生物多样性长效机制，引导企业遵守遗传资源和相关传统知识获取</w:t>
      </w:r>
      <w:r>
        <w:rPr>
          <w:rFonts w:hint="default" w:ascii="Times New Roman" w:hAnsi="Times New Roman" w:cs="Times New Roman"/>
          <w:color w:val="auto"/>
          <w:lang w:eastAsia="zh-CN"/>
        </w:rPr>
        <w:t>与</w:t>
      </w:r>
      <w:r>
        <w:rPr>
          <w:rFonts w:hint="default" w:ascii="Times New Roman" w:hAnsi="Times New Roman" w:cs="Times New Roman"/>
          <w:color w:val="auto"/>
        </w:rPr>
        <w:t>惠益分享要求，促进绿色共富</w:t>
      </w:r>
      <w:bookmarkStart w:id="194" w:name="OLE_LINK18"/>
      <w:bookmarkStart w:id="195" w:name="OLE_LINK17"/>
      <w:r>
        <w:rPr>
          <w:rFonts w:hint="default" w:ascii="Times New Roman" w:hAnsi="Times New Roman" w:cs="Times New Roman"/>
          <w:color w:val="auto"/>
        </w:rPr>
        <w:t>。</w:t>
      </w:r>
      <w:bookmarkEnd w:id="194"/>
      <w:bookmarkEnd w:id="195"/>
      <w:r>
        <w:rPr>
          <w:rFonts w:hint="default" w:ascii="Times New Roman" w:hAnsi="Times New Roman" w:cs="Times New Roman"/>
          <w:color w:val="auto"/>
        </w:rPr>
        <w:t>推动形成政府主导、企业响应、多方参与的生物多样性治理体系。</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2DEFF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0BDEB1BD">
            <w:pPr>
              <w:pStyle w:val="3"/>
              <w:ind w:firstLine="0" w:firstLineChars="0"/>
              <w:jc w:val="center"/>
              <w:rPr>
                <w:rFonts w:hint="default" w:ascii="Times New Roman" w:hAnsi="Times New Roman" w:cs="Times New Roman"/>
                <w:color w:val="auto"/>
                <w:sz w:val="28"/>
                <w:szCs w:val="28"/>
              </w:rPr>
            </w:pPr>
            <w:bookmarkStart w:id="196" w:name="OLE_LINK19"/>
            <w:r>
              <w:rPr>
                <w:rFonts w:hint="default" w:ascii="Times New Roman" w:hAnsi="Times New Roman" w:cs="Times New Roman"/>
                <w:color w:val="auto"/>
                <w:sz w:val="28"/>
                <w:szCs w:val="28"/>
              </w:rPr>
              <w:t>专栏1 企业与生物多样性保护</w:t>
            </w:r>
          </w:p>
        </w:tc>
      </w:tr>
      <w:tr w14:paraId="50245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21B0BD59">
            <w:pPr>
              <w:pStyle w:val="3"/>
              <w:spacing w:line="500" w:lineRule="exact"/>
              <w:ind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1.企业生物多样性保护治理。鼓励企业在邻近区域开展异地生态修复、设立自然保护小区、小微湿地，扶持企业建设公益林、口袋花园、野生动物食源地。</w:t>
            </w:r>
          </w:p>
          <w:p w14:paraId="5826FBEF">
            <w:pPr>
              <w:pStyle w:val="33"/>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2.生物多样性友好厂区示范建设。鼓励企业在厂区绿化时多采用乡土植物，因地制宜提升生产区域绿色空间连通性、立体性和异质性，推行防鸟撞调查和设施改造，打造生物多样性友好厂区。</w:t>
            </w:r>
          </w:p>
          <w:p w14:paraId="349B936D">
            <w:pPr>
              <w:pStyle w:val="33"/>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3.企业生物多样性信息披露示范。开展企业生物多样性定期监测、评估，披露重点行业企业对生物多样性的风险、依赖和影响，加强企业项目成果宣传，提升企业生物多样性保护意识。</w:t>
            </w:r>
          </w:p>
        </w:tc>
      </w:tr>
      <w:bookmarkEnd w:id="196"/>
    </w:tbl>
    <w:p w14:paraId="2490EEB3">
      <w:pPr>
        <w:pStyle w:val="3"/>
        <w:ind w:firstLine="0" w:firstLineChars="0"/>
        <w:rPr>
          <w:rFonts w:hint="default" w:ascii="Times New Roman" w:hAnsi="Times New Roman" w:cs="Times New Roman"/>
          <w:color w:val="auto"/>
        </w:rPr>
      </w:pPr>
    </w:p>
    <w:p w14:paraId="6E1280A8">
      <w:pPr>
        <w:pStyle w:val="6"/>
        <w:ind w:firstLine="640"/>
        <w:jc w:val="both"/>
        <w:rPr>
          <w:rFonts w:hint="default" w:ascii="Times New Roman" w:hAnsi="Times New Roman" w:cs="Times New Roman"/>
          <w:b w:val="0"/>
          <w:bCs w:val="0"/>
          <w:color w:val="auto"/>
        </w:rPr>
      </w:pPr>
      <w:bookmarkStart w:id="197" w:name="_Toc147668089"/>
      <w:bookmarkStart w:id="198" w:name="_Toc16779"/>
      <w:bookmarkStart w:id="199" w:name="_Toc19088"/>
      <w:bookmarkStart w:id="200" w:name="_Toc31000"/>
      <w:bookmarkStart w:id="201" w:name="_Toc27901"/>
      <w:bookmarkStart w:id="202" w:name="_Toc21295"/>
      <w:bookmarkStart w:id="203" w:name="_Toc194476147"/>
      <w:r>
        <w:rPr>
          <w:rFonts w:hint="default" w:ascii="Times New Roman" w:hAnsi="Times New Roman" w:cs="Times New Roman"/>
          <w:b w:val="0"/>
          <w:bCs w:val="0"/>
          <w:color w:val="auto"/>
        </w:rPr>
        <w:t>领域二：</w:t>
      </w:r>
      <w:bookmarkEnd w:id="197"/>
      <w:bookmarkEnd w:id="198"/>
      <w:bookmarkEnd w:id="199"/>
      <w:bookmarkEnd w:id="200"/>
      <w:bookmarkEnd w:id="201"/>
      <w:bookmarkEnd w:id="202"/>
      <w:r>
        <w:rPr>
          <w:rFonts w:hint="default" w:ascii="Times New Roman" w:hAnsi="Times New Roman" w:cs="Times New Roman"/>
          <w:b w:val="0"/>
          <w:bCs w:val="0"/>
          <w:color w:val="auto"/>
        </w:rPr>
        <w:t>全力应对生物多样性丧失威胁</w:t>
      </w:r>
      <w:bookmarkEnd w:id="203"/>
    </w:p>
    <w:p w14:paraId="09730C48">
      <w:pPr>
        <w:pStyle w:val="7"/>
        <w:ind w:firstLine="640"/>
        <w:jc w:val="both"/>
        <w:rPr>
          <w:rFonts w:hint="default" w:ascii="Times New Roman" w:hAnsi="Times New Roman" w:cs="Times New Roman"/>
          <w:b w:val="0"/>
          <w:bCs w:val="0"/>
          <w:color w:val="auto"/>
        </w:rPr>
      </w:pPr>
      <w:bookmarkStart w:id="204" w:name="_Toc147668090"/>
      <w:bookmarkStart w:id="205" w:name="_Toc23936"/>
      <w:bookmarkStart w:id="206" w:name="_Toc10536"/>
      <w:r>
        <w:rPr>
          <w:rFonts w:hint="default" w:ascii="Times New Roman" w:hAnsi="Times New Roman" w:cs="Times New Roman"/>
          <w:b w:val="0"/>
          <w:bCs w:val="0"/>
          <w:color w:val="auto"/>
        </w:rPr>
        <w:t>行动4：深化生物多样性本底调查</w:t>
      </w:r>
      <w:bookmarkEnd w:id="204"/>
      <w:bookmarkEnd w:id="205"/>
      <w:bookmarkEnd w:id="206"/>
      <w:r>
        <w:rPr>
          <w:rFonts w:hint="default" w:ascii="Times New Roman" w:hAnsi="Times New Roman" w:cs="Times New Roman"/>
          <w:b w:val="0"/>
          <w:bCs w:val="0"/>
          <w:color w:val="auto"/>
        </w:rPr>
        <w:t>与评估</w:t>
      </w:r>
    </w:p>
    <w:p w14:paraId="5B00F319">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行动目标：推进全市域调查，摸清生物多样性本底</w:t>
      </w:r>
    </w:p>
    <w:p w14:paraId="192DA523">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制定武汉市生物多样性本底调查技术方案，定期开展生物多样性调查和编目，制定武汉市特有、珍稀濒危生物物种名单。组织开展生物多样性相关传统知识调查、评估和编目工作，并开展案例研究，评估其对生物多样性保护的影响。加强古树名木分级保护，挖掘古树名木文化、生态、旅游等功能。</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76C70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11BA7E52">
            <w:pPr>
              <w:pStyle w:val="3"/>
              <w:ind w:firstLine="0" w:firstLineChars="0"/>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专栏2生物多样性全类群本底调查</w:t>
            </w:r>
          </w:p>
        </w:tc>
      </w:tr>
      <w:tr w14:paraId="6D76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23E85B43">
            <w:pPr>
              <w:pStyle w:val="3"/>
              <w:spacing w:line="500" w:lineRule="exact"/>
              <w:ind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生物多样性本底调查。开展陆生维管植物、陆生哺乳动物、鸟类、爬行动物、两栖动物、大型真菌、陆生昆虫（重点关注生态指示类昆虫、传粉昆虫、珍稀濒危昆虫），以及水生维管植物、水生哺乳动物（如长江江豚）、鱼类、淡水底栖大型无脊椎动物、水生昆虫（重点关注湿地生态系统中的昆虫类群）、浮游生物调查，明晰各生物类群种类、分布和威胁因素。</w:t>
            </w:r>
          </w:p>
          <w:p w14:paraId="64EE0D70">
            <w:pPr>
              <w:pStyle w:val="33"/>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生物多样性相关传统知识调查。开展包括传统选育农业遗传资源相关知识、传统医药相关知识、与生物资源可持续利用相关的传统技术及生产生活方式、与生物多样性相关的传统文化、传统生物地理标志产品等传统知识的调查。</w:t>
            </w:r>
          </w:p>
        </w:tc>
      </w:tr>
    </w:tbl>
    <w:p w14:paraId="35B8BAF6">
      <w:pPr>
        <w:pStyle w:val="3"/>
        <w:ind w:firstLine="640"/>
        <w:rPr>
          <w:rFonts w:hint="default" w:ascii="Times New Roman" w:hAnsi="Times New Roman" w:cs="Times New Roman"/>
          <w:color w:val="auto"/>
        </w:rPr>
      </w:pPr>
    </w:p>
    <w:p w14:paraId="519FC638">
      <w:pPr>
        <w:pStyle w:val="7"/>
        <w:ind w:firstLine="640"/>
        <w:jc w:val="both"/>
        <w:rPr>
          <w:rFonts w:hint="default" w:ascii="Times New Roman" w:hAnsi="Times New Roman" w:cs="Times New Roman"/>
          <w:b w:val="0"/>
          <w:bCs w:val="0"/>
          <w:color w:val="auto"/>
        </w:rPr>
      </w:pPr>
      <w:bookmarkStart w:id="207" w:name="_Toc147668091"/>
      <w:bookmarkStart w:id="208" w:name="_Toc8702"/>
      <w:bookmarkStart w:id="209" w:name="_Toc2725"/>
      <w:r>
        <w:rPr>
          <w:rFonts w:hint="default" w:ascii="Times New Roman" w:hAnsi="Times New Roman" w:cs="Times New Roman"/>
          <w:b w:val="0"/>
          <w:bCs w:val="0"/>
          <w:color w:val="auto"/>
        </w:rPr>
        <w:t>行动5：优化生态空间保护格局</w:t>
      </w:r>
    </w:p>
    <w:p w14:paraId="27ADAABD">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行动目标：加强生态空间保护，优化生物多样性保护格局</w:t>
      </w:r>
    </w:p>
    <w:p w14:paraId="1C46916D">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切实将生态保护红线、自然保护地等区域划入生物多样性优先保护区域，推进生物多样性保护优先区域与生态环境分区管控成果有效衔接。构建“蓝绿”空间，建设环湖绿道，实施绿廊体系工程和江河湖连通工程，夯实安全韧性的城市生态基底，营造更加宜业宜居宜乐宜游的人民城市。依托生态空间相关监督平台加强重要生态空间动态监测、评估和预警，保护好“江、湖、山、城”的空间格局。</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150BB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4C301C9A">
            <w:pPr>
              <w:pStyle w:val="3"/>
              <w:ind w:firstLine="0" w:firstLineChars="0"/>
              <w:jc w:val="center"/>
              <w:rPr>
                <w:rFonts w:hint="default" w:ascii="Times New Roman" w:hAnsi="Times New Roman" w:cs="Times New Roman"/>
                <w:color w:val="auto"/>
                <w:sz w:val="28"/>
                <w:szCs w:val="28"/>
              </w:rPr>
            </w:pPr>
            <w:bookmarkStart w:id="210" w:name="OLE_LINK21"/>
            <w:bookmarkStart w:id="211" w:name="OLE_LINK20"/>
            <w:r>
              <w:rPr>
                <w:rFonts w:hint="default" w:ascii="Times New Roman" w:hAnsi="Times New Roman" w:cs="Times New Roman"/>
                <w:color w:val="auto"/>
                <w:sz w:val="28"/>
                <w:szCs w:val="28"/>
              </w:rPr>
              <w:t>专栏3 生态空间格局与生物多样性保护</w:t>
            </w:r>
          </w:p>
        </w:tc>
      </w:tr>
      <w:tr w14:paraId="0767F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39B0CAC5">
            <w:pPr>
              <w:pStyle w:val="3"/>
              <w:spacing w:line="500" w:lineRule="exact"/>
              <w:ind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1.自然保护地监管。持续开展“绿盾”重要生态空间强化监督，严肃查处各类各级自然保护地内违法违规问题，实现重点问题闭环管理。</w:t>
            </w:r>
          </w:p>
          <w:p w14:paraId="0E08588B">
            <w:pPr>
              <w:pStyle w:val="3"/>
              <w:spacing w:line="500" w:lineRule="exact"/>
              <w:ind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2.生态保护红线监督管理。加强生态保护红线人为活动管控，开展动态监测，开展生态保护红线保护成效评估，强化重要生态空间生态环境和生物多样性监督。</w:t>
            </w:r>
          </w:p>
        </w:tc>
      </w:tr>
      <w:bookmarkEnd w:id="210"/>
      <w:bookmarkEnd w:id="211"/>
    </w:tbl>
    <w:p w14:paraId="4694470B">
      <w:pPr>
        <w:pStyle w:val="3"/>
        <w:ind w:firstLine="0" w:firstLineChars="0"/>
        <w:rPr>
          <w:rFonts w:hint="default" w:ascii="Times New Roman" w:hAnsi="Times New Roman" w:cs="Times New Roman"/>
          <w:color w:val="auto"/>
        </w:rPr>
      </w:pPr>
    </w:p>
    <w:bookmarkEnd w:id="207"/>
    <w:bookmarkEnd w:id="208"/>
    <w:bookmarkEnd w:id="209"/>
    <w:p w14:paraId="4EF9D534">
      <w:pPr>
        <w:pStyle w:val="7"/>
        <w:ind w:firstLine="640"/>
        <w:jc w:val="both"/>
        <w:rPr>
          <w:rFonts w:hint="default" w:ascii="Times New Roman" w:hAnsi="Times New Roman" w:cs="Times New Roman"/>
          <w:b w:val="0"/>
          <w:bCs w:val="0"/>
          <w:color w:val="auto"/>
        </w:rPr>
      </w:pPr>
      <w:bookmarkStart w:id="212" w:name="_Toc13728"/>
      <w:bookmarkStart w:id="213" w:name="_Toc24142"/>
      <w:bookmarkStart w:id="214" w:name="_Toc147668096"/>
      <w:r>
        <w:rPr>
          <w:rFonts w:hint="default" w:ascii="Times New Roman" w:hAnsi="Times New Roman" w:cs="Times New Roman"/>
          <w:b w:val="0"/>
          <w:bCs w:val="0"/>
          <w:color w:val="auto"/>
        </w:rPr>
        <w:t>行动6：完善自然保护地体系建设</w:t>
      </w:r>
      <w:bookmarkEnd w:id="212"/>
      <w:bookmarkEnd w:id="213"/>
      <w:bookmarkEnd w:id="214"/>
    </w:p>
    <w:p w14:paraId="749819C6">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行动目标：完善自然保护地网络，加强生物多样性就地保护</w:t>
      </w:r>
    </w:p>
    <w:p w14:paraId="726D78B0">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建立以自然保护区为基础，以湿地公园、风景名胜区、森林公园为补充的自然保护地体系。根据整合优化后的武汉市自然保护地范围，编制报批总体规划。基于武汉市生态保护红线、重要栖息地等重点保护区域，在自然保护地以外的区域，探索建立其他有效的区域保护措施（OECMs），对该区域内生物多样性进行有效和长期的原位保护。加强畜禽、林木、农作物、水产种质资源保护区和野生动物重要栖息地监测管理。</w:t>
      </w:r>
    </w:p>
    <w:p w14:paraId="592B2081">
      <w:pPr>
        <w:pStyle w:val="7"/>
        <w:ind w:firstLine="640"/>
        <w:jc w:val="both"/>
        <w:rPr>
          <w:rFonts w:hint="default" w:ascii="Times New Roman" w:hAnsi="Times New Roman" w:cs="Times New Roman"/>
          <w:b w:val="0"/>
          <w:bCs w:val="0"/>
          <w:color w:val="auto"/>
        </w:rPr>
      </w:pPr>
      <w:bookmarkStart w:id="215" w:name="_Toc26669"/>
      <w:bookmarkStart w:id="216" w:name="_Toc147668097"/>
      <w:bookmarkStart w:id="217" w:name="_Toc19126"/>
      <w:r>
        <w:rPr>
          <w:rFonts w:hint="default" w:ascii="Times New Roman" w:hAnsi="Times New Roman" w:cs="Times New Roman"/>
          <w:b w:val="0"/>
          <w:bCs w:val="0"/>
          <w:color w:val="auto"/>
        </w:rPr>
        <w:t>行动7：开展生物多样性廊道建设</w:t>
      </w:r>
      <w:bookmarkEnd w:id="215"/>
      <w:bookmarkEnd w:id="216"/>
      <w:bookmarkEnd w:id="217"/>
    </w:p>
    <w:p w14:paraId="47E873BE">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行动目标：完善生物多样性廊道体系，增强生物栖息地连通性</w:t>
      </w:r>
    </w:p>
    <w:p w14:paraId="3F3C158C">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依托武汉市河湖水系、主要交通走廊等建设生物多样性廊道，研究建设穿城绿道，建立连接各生态斑块的重要连通道。持续推进五级公园体系建设，增加生物栖息地连通性。统筹河流、湖泊、港渠、山体、公园、绿道、防护绿带、广场、步行道等，形成通江达湖、蓝绿交融的城市开敞空间系统。</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0142B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174834ED">
            <w:pPr>
              <w:pStyle w:val="3"/>
              <w:ind w:firstLine="0" w:firstLineChars="0"/>
              <w:jc w:val="center"/>
              <w:rPr>
                <w:rFonts w:hint="default" w:ascii="Times New Roman" w:hAnsi="Times New Roman" w:cs="Times New Roman"/>
                <w:color w:val="auto"/>
                <w:sz w:val="28"/>
                <w:szCs w:val="28"/>
              </w:rPr>
            </w:pPr>
            <w:bookmarkStart w:id="218" w:name="OLE_LINK24"/>
            <w:r>
              <w:rPr>
                <w:rFonts w:hint="default" w:ascii="Times New Roman" w:hAnsi="Times New Roman" w:cs="Times New Roman"/>
                <w:color w:val="auto"/>
                <w:sz w:val="28"/>
                <w:szCs w:val="28"/>
              </w:rPr>
              <w:t>专栏4 生态廊道与生物多样性保护</w:t>
            </w:r>
          </w:p>
        </w:tc>
      </w:tr>
      <w:tr w14:paraId="63BDA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20C78F3C">
            <w:pPr>
              <w:pStyle w:val="3"/>
              <w:spacing w:line="500" w:lineRule="exact"/>
              <w:ind w:firstLine="0" w:firstLineChars="0"/>
              <w:rPr>
                <w:rFonts w:hint="default" w:ascii="Times New Roman" w:hAnsi="Times New Roman" w:cs="Times New Roman"/>
                <w:color w:val="auto"/>
                <w:sz w:val="28"/>
                <w:szCs w:val="28"/>
              </w:rPr>
            </w:pPr>
            <w:bookmarkStart w:id="219" w:name="OLE_LINK22"/>
            <w:bookmarkStart w:id="220" w:name="OLE_LINK23"/>
            <w:r>
              <w:rPr>
                <w:rFonts w:hint="default" w:ascii="Times New Roman" w:hAnsi="Times New Roman" w:cs="Times New Roman"/>
                <w:color w:val="auto"/>
                <w:sz w:val="28"/>
                <w:szCs w:val="28"/>
              </w:rPr>
              <w:t>1.生物多样性保护水系廊道建设。加快</w:t>
            </w:r>
            <w:bookmarkEnd w:id="219"/>
            <w:bookmarkEnd w:id="220"/>
            <w:r>
              <w:rPr>
                <w:rFonts w:hint="default" w:ascii="Times New Roman" w:hAnsi="Times New Roman" w:cs="Times New Roman"/>
                <w:color w:val="auto"/>
                <w:sz w:val="28"/>
                <w:szCs w:val="28"/>
              </w:rPr>
              <w:t>推进长江滨水生态岸线打造，促进长江沿线碎片化生态空间的连通，提升调控洪水、防止水土流失、保护生物多样性、过滤污染物等生态服务功能。建设大东湖水网（严西湖-严东湖）连通工程，构建河湖生态廊道，增强水体流通性。</w:t>
            </w:r>
          </w:p>
          <w:p w14:paraId="127EC61A">
            <w:pPr>
              <w:pStyle w:val="33"/>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2.生物多样性保护绿色廊道建设。实施东西山系人文绿道示范段、环汉口绿道连通工程，建设生态织补桥和野生动物通道，贯通环沙湖、墨水湖、龙阳湖等城市湖泊滨水绿道。</w:t>
            </w:r>
          </w:p>
          <w:p w14:paraId="6EAFC97F">
            <w:pPr>
              <w:pStyle w:val="33"/>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3.推进五级公园体系建设。推进“自然公园—郊野公园—城市公园—社区公园—口袋公园”五级公园体系建设，实现“300米见绿，500米见园，2000米见水”，形成“山水两脉，珠链镶系，城绿交融”全域公园体系。</w:t>
            </w:r>
          </w:p>
        </w:tc>
      </w:tr>
      <w:bookmarkEnd w:id="218"/>
    </w:tbl>
    <w:p w14:paraId="534D469D">
      <w:pPr>
        <w:pStyle w:val="3"/>
        <w:ind w:firstLine="0" w:firstLineChars="0"/>
        <w:rPr>
          <w:rFonts w:hint="default" w:ascii="Times New Roman" w:hAnsi="Times New Roman" w:cs="Times New Roman"/>
          <w:color w:val="auto"/>
        </w:rPr>
      </w:pPr>
    </w:p>
    <w:p w14:paraId="3CC888AB">
      <w:pPr>
        <w:pStyle w:val="7"/>
        <w:ind w:firstLine="640"/>
        <w:jc w:val="both"/>
        <w:rPr>
          <w:rFonts w:hint="default" w:ascii="Times New Roman" w:hAnsi="Times New Roman" w:cs="Times New Roman"/>
          <w:b w:val="0"/>
          <w:bCs w:val="0"/>
          <w:color w:val="auto"/>
        </w:rPr>
      </w:pPr>
      <w:bookmarkStart w:id="221" w:name="_Toc24403"/>
      <w:bookmarkStart w:id="222" w:name="_Toc14123"/>
      <w:bookmarkStart w:id="223" w:name="_Toc147668101"/>
      <w:r>
        <w:rPr>
          <w:rFonts w:hint="default" w:ascii="Times New Roman" w:hAnsi="Times New Roman" w:cs="Times New Roman"/>
          <w:b w:val="0"/>
          <w:bCs w:val="0"/>
          <w:color w:val="auto"/>
        </w:rPr>
        <w:t>行动8：完善迁地保护</w:t>
      </w:r>
      <w:bookmarkEnd w:id="221"/>
      <w:bookmarkEnd w:id="222"/>
      <w:bookmarkEnd w:id="223"/>
      <w:r>
        <w:rPr>
          <w:rFonts w:hint="default" w:ascii="Times New Roman" w:hAnsi="Times New Roman" w:cs="Times New Roman"/>
          <w:b w:val="0"/>
          <w:bCs w:val="0"/>
          <w:color w:val="auto"/>
        </w:rPr>
        <w:t>体系建设</w:t>
      </w:r>
    </w:p>
    <w:p w14:paraId="66154059">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行动目标：完善迁地保护体系，提高物种迁地保护水平</w:t>
      </w:r>
    </w:p>
    <w:p w14:paraId="2EA8179A">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行动内容：完善动物园和濒危动物繁殖中心，保护和扩大野生动物种群。积极创建武汉国家植物园，建设保障性苗圃，进行人工保种和扩繁。进一步提升武汉市</w:t>
      </w:r>
      <w:bookmarkStart w:id="224" w:name="OLE_LINK25"/>
      <w:r>
        <w:rPr>
          <w:rFonts w:hint="default" w:ascii="Times New Roman" w:hAnsi="Times New Roman" w:cs="Times New Roman"/>
          <w:color w:val="auto"/>
        </w:rPr>
        <w:t>现有种质资源库等各类种质与生物资源迁地保护设施，</w:t>
      </w:r>
      <w:bookmarkEnd w:id="224"/>
      <w:r>
        <w:rPr>
          <w:rFonts w:hint="default" w:ascii="Times New Roman" w:hAnsi="Times New Roman" w:cs="Times New Roman"/>
          <w:color w:val="auto"/>
        </w:rPr>
        <w:t>加强对武汉“水生蔬菜”“黄颡鱼”“樱花”等重点经济类生物资源的迁地保护。大力发展种业，提升生物育种能力，推进武汉建设成为“中国种都”。探索推进武汉药食用菌、汉产道地药材等的种质资源保护，建成相对完善的食药用生物资源迁地保护技术和资源管理体系，开展珍稀濒危食药用植物资源拯救及其替代品研究。</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75617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36446B73">
            <w:pPr>
              <w:pStyle w:val="3"/>
              <w:ind w:firstLine="0" w:firstLineChars="0"/>
              <w:jc w:val="center"/>
              <w:rPr>
                <w:rFonts w:hint="default" w:ascii="Times New Roman" w:hAnsi="Times New Roman" w:cs="Times New Roman"/>
                <w:color w:val="auto"/>
                <w:sz w:val="28"/>
                <w:szCs w:val="28"/>
              </w:rPr>
            </w:pPr>
            <w:bookmarkStart w:id="225" w:name="OLE_LINK28"/>
            <w:bookmarkStart w:id="226" w:name="OLE_LINK27"/>
            <w:r>
              <w:rPr>
                <w:rFonts w:hint="default" w:ascii="Times New Roman" w:hAnsi="Times New Roman" w:cs="Times New Roman"/>
                <w:color w:val="auto"/>
                <w:sz w:val="28"/>
                <w:szCs w:val="28"/>
              </w:rPr>
              <w:t>专栏5 迁地保护体系与生物多样性保护</w:t>
            </w:r>
          </w:p>
        </w:tc>
      </w:tr>
      <w:tr w14:paraId="05D2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22603B90">
            <w:pPr>
              <w:pStyle w:val="3"/>
              <w:spacing w:line="500" w:lineRule="exact"/>
              <w:ind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1.动物园和濒危动物繁育中心建设与优化。对野外生境遭受严重干扰或野外受损的珍稀濒危动物，通过完善动物园和濒危动物繁育中心，实现珍稀野生动物人工繁殖、野外放归。</w:t>
            </w:r>
          </w:p>
          <w:p w14:paraId="1F407BDE">
            <w:pPr>
              <w:pStyle w:val="33"/>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2.种质资源库建设</w:t>
            </w:r>
            <w:bookmarkStart w:id="227" w:name="OLE_LINK54"/>
            <w:bookmarkStart w:id="228" w:name="OLE_LINK53"/>
            <w:r>
              <w:rPr>
                <w:rFonts w:hint="default" w:ascii="Times New Roman" w:hAnsi="Times New Roman" w:cs="Times New Roman"/>
                <w:color w:val="auto"/>
                <w:sz w:val="28"/>
                <w:szCs w:val="28"/>
              </w:rPr>
              <w:t>与优化</w:t>
            </w:r>
            <w:bookmarkEnd w:id="227"/>
            <w:bookmarkEnd w:id="228"/>
            <w:r>
              <w:rPr>
                <w:rFonts w:hint="default" w:ascii="Times New Roman" w:hAnsi="Times New Roman" w:cs="Times New Roman"/>
                <w:color w:val="auto"/>
                <w:sz w:val="28"/>
                <w:szCs w:val="28"/>
              </w:rPr>
              <w:t>。加强现有国家级和省级水产种质资源库、农作物种质资源库、林木种质资源库，以及园艺（蔬菜）作物标准园、畜禽规模养殖场、水产健康养殖示范场等各类种质与生物资源迁地保护设施。</w:t>
            </w:r>
          </w:p>
          <w:p w14:paraId="23078250">
            <w:pPr>
              <w:pStyle w:val="33"/>
              <w:spacing w:line="500" w:lineRule="exact"/>
              <w:rPr>
                <w:rFonts w:hint="default" w:ascii="Times New Roman" w:hAnsi="Times New Roman" w:cs="Times New Roman"/>
                <w:color w:val="auto"/>
              </w:rPr>
            </w:pPr>
            <w:r>
              <w:rPr>
                <w:rFonts w:hint="default" w:ascii="Times New Roman" w:hAnsi="Times New Roman" w:cs="Times New Roman"/>
                <w:color w:val="auto"/>
                <w:sz w:val="28"/>
                <w:szCs w:val="28"/>
              </w:rPr>
              <w:t>3.药食用菌和中药材资源保护。以武汉东西湖古奥基因食药用菌育种基地为基础，大力推进灵芝、桑黄、木耳等重要的微生物（食用菌）种质资源收集保存；探索建立中药材数据库和汉产道地药材种质资源库、基因库，建立中药材良种繁育体系和良种培育基地。</w:t>
            </w:r>
          </w:p>
        </w:tc>
      </w:tr>
      <w:bookmarkEnd w:id="225"/>
      <w:bookmarkEnd w:id="226"/>
    </w:tbl>
    <w:p w14:paraId="2B0B4462">
      <w:pPr>
        <w:pStyle w:val="3"/>
        <w:ind w:firstLine="0" w:firstLineChars="0"/>
        <w:rPr>
          <w:rFonts w:hint="default" w:ascii="Times New Roman" w:hAnsi="Times New Roman" w:cs="Times New Roman"/>
          <w:color w:val="auto"/>
        </w:rPr>
      </w:pPr>
    </w:p>
    <w:p w14:paraId="72A5E4E8">
      <w:pPr>
        <w:pStyle w:val="7"/>
        <w:ind w:firstLine="640"/>
        <w:jc w:val="both"/>
        <w:rPr>
          <w:rFonts w:hint="default" w:ascii="Times New Roman" w:hAnsi="Times New Roman" w:cs="Times New Roman"/>
          <w:b w:val="0"/>
          <w:bCs w:val="0"/>
          <w:color w:val="auto"/>
        </w:rPr>
      </w:pPr>
      <w:bookmarkStart w:id="229" w:name="_Toc20862"/>
      <w:bookmarkStart w:id="230" w:name="_Toc4453"/>
      <w:bookmarkStart w:id="231" w:name="_Toc147668106"/>
      <w:r>
        <w:rPr>
          <w:rFonts w:hint="default" w:ascii="Times New Roman" w:hAnsi="Times New Roman" w:cs="Times New Roman"/>
          <w:b w:val="0"/>
          <w:bCs w:val="0"/>
          <w:color w:val="auto"/>
        </w:rPr>
        <w:t>行动9：加强河湖湿地生态系统保护修复</w:t>
      </w:r>
      <w:bookmarkEnd w:id="229"/>
      <w:bookmarkEnd w:id="230"/>
      <w:bookmarkEnd w:id="231"/>
    </w:p>
    <w:p w14:paraId="0B086254">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行动目标：保护修复河湖湿地，强化生物栖息地保护</w:t>
      </w:r>
    </w:p>
    <w:p w14:paraId="19DD9245">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行动内容：采取基于自然的解决方案（NbS）的生态保护修复措施，</w:t>
      </w:r>
      <w:bookmarkStart w:id="232" w:name="OLE_LINK29"/>
      <w:r>
        <w:rPr>
          <w:rFonts w:hint="default" w:ascii="Times New Roman" w:hAnsi="Times New Roman" w:cs="Times New Roman"/>
          <w:color w:val="auto"/>
        </w:rPr>
        <w:t>推进湿地生态功能修复与保护</w:t>
      </w:r>
      <w:bookmarkEnd w:id="232"/>
      <w:r>
        <w:rPr>
          <w:rFonts w:hint="default" w:ascii="Times New Roman" w:hAnsi="Times New Roman" w:cs="Times New Roman"/>
          <w:color w:val="auto"/>
        </w:rPr>
        <w:t>。加大湖泊湿地的退垸还湿力度。实施长江水环境修复行动和长江两岸国土绿化攻坚再提升行动，抓好长江流域岸线“留白”“留绿”，逐步恢复长江岸线生态功能。依托现有资源，因地制宜打造小微湿地，推进小微湿地生态治理。</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75FF3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229C0FCA">
            <w:pPr>
              <w:pStyle w:val="3"/>
              <w:ind w:firstLine="0" w:firstLineChars="0"/>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专栏6 河湖湿地保护修复与生物多样性保护</w:t>
            </w:r>
          </w:p>
        </w:tc>
      </w:tr>
      <w:tr w14:paraId="33E95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1555BD75">
            <w:pPr>
              <w:pStyle w:val="33"/>
              <w:numPr>
                <w:ilvl w:val="255"/>
                <w:numId w:val="0"/>
              </w:numPr>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1.探索推进湿地分类管理。结合武汉湿地资源特点，探索建立“湿地自然保护区-湿地公园-郊野湿地公园-城市湿地公园-小微湿地”的湿地分类管理体系。</w:t>
            </w:r>
          </w:p>
          <w:p w14:paraId="6E9E9466">
            <w:pPr>
              <w:pStyle w:val="33"/>
              <w:numPr>
                <w:ilvl w:val="255"/>
                <w:numId w:val="0"/>
              </w:numPr>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加强武汉市重要湿地保护修复。在沉湖、安山、上涉湖、东湖、藏龙岛、后官湖、杜公湖等7处重要湿地，以及藏龙岛湿地、上涉湖、梁子湖、桐湖、草湖、涨渡湖、汉南武湖、索子长河等8处重要湿地候选区，采取水网连通、生态补水等湿地水源保障，湿地植被恢复，野生动植物栖息地修复等措施，推进河湖湿地生态功能修复与保护。</w:t>
            </w:r>
          </w:p>
          <w:p w14:paraId="6EB10E14">
            <w:pPr>
              <w:pStyle w:val="33"/>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3.推进小微湿地群建设。推进武汉各区每年选择1-2处“小微湿地”示范建设管理，到2030年完成50处，到2035年完成80处以上小微湿地示范建设。</w:t>
            </w:r>
          </w:p>
        </w:tc>
      </w:tr>
    </w:tbl>
    <w:p w14:paraId="46921834">
      <w:pPr>
        <w:pStyle w:val="3"/>
        <w:ind w:firstLine="0" w:firstLineChars="0"/>
        <w:rPr>
          <w:rFonts w:hint="default" w:ascii="Times New Roman" w:hAnsi="Times New Roman" w:cs="Times New Roman"/>
          <w:color w:val="auto"/>
        </w:rPr>
      </w:pPr>
    </w:p>
    <w:p w14:paraId="401AB697">
      <w:pPr>
        <w:pStyle w:val="7"/>
        <w:ind w:firstLine="640"/>
        <w:jc w:val="both"/>
        <w:rPr>
          <w:rFonts w:hint="default" w:ascii="Times New Roman" w:hAnsi="Times New Roman" w:cs="Times New Roman"/>
          <w:b w:val="0"/>
          <w:bCs w:val="0"/>
          <w:color w:val="auto"/>
        </w:rPr>
      </w:pPr>
      <w:bookmarkStart w:id="233" w:name="_Toc147668107"/>
      <w:bookmarkStart w:id="234" w:name="_Toc3019"/>
      <w:bookmarkStart w:id="235" w:name="_Toc22034"/>
      <w:r>
        <w:rPr>
          <w:rFonts w:hint="default" w:ascii="Times New Roman" w:hAnsi="Times New Roman" w:cs="Times New Roman"/>
          <w:b w:val="0"/>
          <w:bCs w:val="0"/>
          <w:color w:val="auto"/>
        </w:rPr>
        <w:t>行动10：持续推进长江</w:t>
      </w:r>
      <w:bookmarkStart w:id="236" w:name="OLE_LINK30"/>
      <w:bookmarkStart w:id="237" w:name="OLE_LINK31"/>
      <w:r>
        <w:rPr>
          <w:rFonts w:hint="default" w:ascii="Times New Roman" w:hAnsi="Times New Roman" w:eastAsia="仿宋" w:cs="Times New Roman"/>
          <w:b w:val="0"/>
          <w:bCs w:val="0"/>
          <w:color w:val="auto"/>
        </w:rPr>
        <w:t>“</w:t>
      </w:r>
      <w:r>
        <w:rPr>
          <w:rFonts w:hint="default" w:ascii="Times New Roman" w:hAnsi="Times New Roman" w:eastAsia="仿宋_GB2312" w:cs="Times New Roman"/>
          <w:b w:val="0"/>
          <w:bCs w:val="0"/>
          <w:color w:val="auto"/>
        </w:rPr>
        <w:t>十年禁渔</w:t>
      </w:r>
      <w:r>
        <w:rPr>
          <w:rFonts w:hint="default" w:ascii="Times New Roman" w:hAnsi="Times New Roman" w:eastAsia="仿宋" w:cs="Times New Roman"/>
          <w:b w:val="0"/>
          <w:bCs w:val="0"/>
          <w:color w:val="auto"/>
        </w:rPr>
        <w:t>”</w:t>
      </w:r>
      <w:bookmarkEnd w:id="236"/>
      <w:bookmarkEnd w:id="237"/>
    </w:p>
    <w:p w14:paraId="6E313D7D">
      <w:pPr>
        <w:ind w:firstLine="640"/>
        <w:rPr>
          <w:rFonts w:hint="default" w:ascii="Times New Roman" w:hAnsi="Times New Roman" w:cs="Times New Roman"/>
          <w:color w:val="auto"/>
        </w:rPr>
      </w:pPr>
      <w:r>
        <w:rPr>
          <w:rFonts w:hint="default" w:ascii="Times New Roman" w:hAnsi="Times New Roman" w:cs="Times New Roman"/>
          <w:color w:val="auto"/>
        </w:rPr>
        <w:t>行动目标：推进“十年禁渔”，强化水生生物保护</w:t>
      </w:r>
    </w:p>
    <w:p w14:paraId="6B6242B6">
      <w:pPr>
        <w:pStyle w:val="3"/>
        <w:ind w:firstLine="640"/>
        <w:rPr>
          <w:rFonts w:hint="default" w:ascii="Times New Roman" w:hAnsi="Times New Roman" w:cs="Times New Roman"/>
          <w:color w:val="auto"/>
        </w:rPr>
      </w:pPr>
      <w:r>
        <w:rPr>
          <w:rFonts w:hint="default" w:ascii="Times New Roman" w:hAnsi="Times New Roman" w:cs="Times New Roman"/>
          <w:color w:val="auto"/>
        </w:rPr>
        <w:t>行动内容：加强长江流域重点水域水生生物资源调查与监测，落实长江、汉江干流及水产种质资源保护区全面禁捕退捕。科学规范开展增殖放流活动，提升长江汉江武汉段水生生物多样性。开展珍稀濒危和特色鱼类的繁育、放流野化及其科普展示基地的建设。</w:t>
      </w:r>
      <w:bookmarkStart w:id="238" w:name="OLE_LINK73"/>
      <w:r>
        <w:rPr>
          <w:rFonts w:hint="default" w:ascii="Times New Roman" w:hAnsi="Times New Roman" w:cs="Times New Roman"/>
          <w:color w:val="auto"/>
        </w:rPr>
        <w:t>落实《武汉市长江流域重点水域垂钓管理暂行办法》</w:t>
      </w:r>
      <w:bookmarkEnd w:id="238"/>
      <w:r>
        <w:rPr>
          <w:rFonts w:hint="default" w:ascii="Times New Roman" w:hAnsi="Times New Roman" w:cs="Times New Roman"/>
          <w:color w:val="auto"/>
        </w:rPr>
        <w:t>，开展违规垂钓专项整治行动。常态化组织联巡联查，保持打击非法捕捞高压态势。落实长江中游城市群生态网络共建和环境联防联治机制，持续改善长江生态环境和水域生态功能。</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73CD0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143218E8">
            <w:pPr>
              <w:pStyle w:val="3"/>
              <w:ind w:firstLine="0" w:firstLineChars="0"/>
              <w:jc w:val="center"/>
              <w:rPr>
                <w:rFonts w:hint="default" w:ascii="Times New Roman" w:hAnsi="Times New Roman" w:cs="Times New Roman"/>
                <w:color w:val="auto"/>
                <w:sz w:val="28"/>
                <w:szCs w:val="28"/>
              </w:rPr>
            </w:pPr>
            <w:bookmarkStart w:id="239" w:name="OLE_LINK82"/>
            <w:bookmarkStart w:id="240" w:name="OLE_LINK81"/>
            <w:r>
              <w:rPr>
                <w:rFonts w:hint="default" w:ascii="Times New Roman" w:hAnsi="Times New Roman" w:cs="Times New Roman"/>
                <w:color w:val="auto"/>
                <w:sz w:val="28"/>
                <w:szCs w:val="28"/>
              </w:rPr>
              <w:t>专栏7 水生生物多样性保护</w:t>
            </w:r>
          </w:p>
        </w:tc>
      </w:tr>
      <w:tr w14:paraId="40ADA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6F1CD21E">
            <w:pPr>
              <w:pStyle w:val="3"/>
              <w:numPr>
                <w:ilvl w:val="255"/>
                <w:numId w:val="0"/>
              </w:numPr>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1.开展珍稀濒危和野生鱼类繁殖。支持高校科研院所和企业等主体，人工驯化养殖长江刀鱼（长颌鲚）、江团（长吻</w:t>
            </w:r>
            <w:r>
              <w:rPr>
                <w:rFonts w:hint="default" w:ascii="Times New Roman" w:hAnsi="Times New Roman" w:cs="Times New Roman" w:eastAsiaTheme="minorEastAsia"/>
                <w:color w:val="auto"/>
                <w:sz w:val="28"/>
                <w:szCs w:val="28"/>
              </w:rPr>
              <w:t>鮠</w:t>
            </w:r>
            <w:r>
              <w:rPr>
                <w:rFonts w:hint="default" w:ascii="Times New Roman" w:hAnsi="Times New Roman" w:cs="Times New Roman"/>
                <w:color w:val="auto"/>
                <w:sz w:val="28"/>
                <w:szCs w:val="28"/>
              </w:rPr>
              <w:t>）、草鳊（长春鳊）、涂憨巴（沙塘鳢）等野生鱼。开展中华鲟、胭脂鱼等珍稀濒危和特色鱼类的繁育和放流野化。</w:t>
            </w:r>
          </w:p>
          <w:p w14:paraId="38B977FC">
            <w:pPr>
              <w:pStyle w:val="33"/>
              <w:numPr>
                <w:ilvl w:val="255"/>
                <w:numId w:val="0"/>
              </w:numPr>
              <w:spacing w:line="500" w:lineRule="exact"/>
              <w:rPr>
                <w:rFonts w:hint="default" w:ascii="Times New Roman" w:hAnsi="Times New Roman" w:cs="Times New Roman"/>
                <w:color w:val="auto"/>
              </w:rPr>
            </w:pPr>
            <w:r>
              <w:rPr>
                <w:rFonts w:hint="default" w:ascii="Times New Roman" w:hAnsi="Times New Roman" w:cs="Times New Roman"/>
                <w:color w:val="auto"/>
                <w:sz w:val="28"/>
                <w:szCs w:val="28"/>
              </w:rPr>
              <w:t>2.强化长江中游城市群联防联控。强化长江中游城市群生态网络共建和环境联防联治，共同推进长江水环境修复行动、长江水资源保护行动和长江水生态重塑行动，协同实施长江十年禁渔及长江流域重点水域禁捕退捕，持续改善长江生态环境和水域生态功能。</w:t>
            </w:r>
          </w:p>
        </w:tc>
      </w:tr>
      <w:bookmarkEnd w:id="239"/>
      <w:bookmarkEnd w:id="240"/>
    </w:tbl>
    <w:p w14:paraId="063FC668">
      <w:pPr>
        <w:pStyle w:val="3"/>
        <w:ind w:firstLine="640"/>
        <w:rPr>
          <w:rFonts w:hint="default" w:ascii="Times New Roman" w:hAnsi="Times New Roman" w:cs="Times New Roman"/>
          <w:color w:val="auto"/>
        </w:rPr>
      </w:pPr>
    </w:p>
    <w:p w14:paraId="50923379">
      <w:pPr>
        <w:pStyle w:val="7"/>
        <w:ind w:firstLine="640"/>
        <w:jc w:val="both"/>
        <w:rPr>
          <w:rFonts w:hint="default" w:ascii="Times New Roman" w:hAnsi="Times New Roman" w:cs="Times New Roman"/>
          <w:b w:val="0"/>
          <w:bCs w:val="0"/>
          <w:color w:val="auto"/>
        </w:rPr>
      </w:pPr>
      <w:r>
        <w:rPr>
          <w:rFonts w:hint="default" w:ascii="Times New Roman" w:hAnsi="Times New Roman" w:cs="Times New Roman"/>
          <w:b w:val="0"/>
          <w:bCs w:val="0"/>
          <w:color w:val="auto"/>
        </w:rPr>
        <w:t>行动11：打造长江江豚保护优先区</w:t>
      </w:r>
    </w:p>
    <w:p w14:paraId="7DA4D336">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行动目标：实施长江江豚保护措施，提升长江江豚保护能力</w:t>
      </w:r>
    </w:p>
    <w:p w14:paraId="26F4F6B5">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w:t>
      </w:r>
      <w:bookmarkStart w:id="241" w:name="OLE_LINK79"/>
      <w:bookmarkStart w:id="242" w:name="OLE_LINK80"/>
      <w:r>
        <w:rPr>
          <w:rFonts w:hint="default" w:ascii="Times New Roman" w:hAnsi="Times New Roman" w:cs="Times New Roman"/>
          <w:color w:val="auto"/>
        </w:rPr>
        <w:t>持续加强长江武汉段长江江豚动态监测，建设长江江豚智慧监测系统，强化长江江豚监测能力。实施岸滩生境修复，促进长江江豚</w:t>
      </w:r>
      <w:r>
        <w:rPr>
          <w:rFonts w:hint="default" w:ascii="Times New Roman" w:hAnsi="Times New Roman" w:cs="Times New Roman"/>
          <w:color w:val="auto"/>
          <w:lang w:eastAsia="zh-CN"/>
        </w:rPr>
        <w:t>生活环境</w:t>
      </w:r>
      <w:r>
        <w:rPr>
          <w:rFonts w:hint="default" w:ascii="Times New Roman" w:hAnsi="Times New Roman" w:cs="Times New Roman"/>
          <w:color w:val="auto"/>
        </w:rPr>
        <w:t>保护和修复。依托武汉长江江豚繁育保种技术研究中心，强化长江江豚繁育技术研究，促进人工繁育保种种群的稳定健康发展。构建长江江豚救护体系，提升长江江豚种群保护效率。配合推进湖北长江新螺段白鱀豚国家级自然保护区（武汉经开区部分）长江江豚保护工作</w:t>
      </w:r>
      <w:r>
        <w:rPr>
          <w:rFonts w:hint="default" w:ascii="Times New Roman" w:hAnsi="Times New Roman" w:cs="Times New Roman"/>
          <w:color w:val="auto"/>
          <w:lang w:eastAsia="zh-CN"/>
        </w:rPr>
        <w:t>，开展</w:t>
      </w:r>
      <w:r>
        <w:rPr>
          <w:rFonts w:hint="default" w:ascii="Times New Roman" w:hAnsi="Times New Roman" w:cs="Times New Roman"/>
          <w:color w:val="auto"/>
        </w:rPr>
        <w:t>长江江豚</w:t>
      </w:r>
      <w:r>
        <w:rPr>
          <w:rFonts w:hint="default" w:ascii="Times New Roman" w:hAnsi="Times New Roman" w:cs="Times New Roman"/>
          <w:color w:val="auto"/>
          <w:lang w:eastAsia="zh-CN"/>
        </w:rPr>
        <w:t>自然</w:t>
      </w:r>
      <w:r>
        <w:rPr>
          <w:rFonts w:hint="default" w:ascii="Times New Roman" w:hAnsi="Times New Roman" w:cs="Times New Roman"/>
          <w:color w:val="auto"/>
        </w:rPr>
        <w:t>保护区建设前期研究工作，</w:t>
      </w:r>
      <w:r>
        <w:rPr>
          <w:rFonts w:hint="default" w:ascii="Times New Roman" w:hAnsi="Times New Roman" w:cs="Times New Roman"/>
          <w:color w:val="auto"/>
          <w:lang w:eastAsia="zh-CN"/>
        </w:rPr>
        <w:t>条件成熟时</w:t>
      </w:r>
      <w:r>
        <w:rPr>
          <w:rFonts w:hint="default" w:ascii="Times New Roman" w:hAnsi="Times New Roman" w:cs="Times New Roman"/>
          <w:color w:val="auto"/>
        </w:rPr>
        <w:t>申建地方级长江江豚自然保护区，强化长江江豚就地保护。打造“长江江豚湾”等长江江豚保护优先区，建成长江江豚保护成效展示“新窗口”。持续开展科普宣传，提升全民爱豚护豚意识，全面助力长江江豚重返武汉城区江段工作。</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31781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5B07BD25">
            <w:pPr>
              <w:pStyle w:val="3"/>
              <w:ind w:firstLine="0" w:firstLineChars="0"/>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专栏8 长江江豚保护</w:t>
            </w:r>
          </w:p>
        </w:tc>
      </w:tr>
      <w:tr w14:paraId="3FE77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46C09AA8">
            <w:pPr>
              <w:pStyle w:val="3"/>
              <w:numPr>
                <w:ilvl w:val="255"/>
                <w:numId w:val="0"/>
              </w:numPr>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1.加强长江江豚人工繁育与种群保护。支持武汉长江江豚繁育保种技术研究中心持续开展长江江豚繁育研究，提升长江江豚人工饲养繁育能力，助力长江江豚繁育与种群稳定。</w:t>
            </w:r>
          </w:p>
          <w:p w14:paraId="5C592FA1">
            <w:pPr>
              <w:pStyle w:val="33"/>
              <w:numPr>
                <w:ilvl w:val="255"/>
                <w:numId w:val="0"/>
              </w:numPr>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2.打造长江江豚保护优先区。持续推进长江武汉段长江江豚监测工作，以新洲双柳等关键水域为中心，谋划建设</w:t>
            </w:r>
            <w:bookmarkStart w:id="243" w:name="OLE_LINK88"/>
            <w:bookmarkStart w:id="244" w:name="OLE_LINK87"/>
            <w:r>
              <w:rPr>
                <w:rFonts w:hint="default" w:ascii="Times New Roman" w:hAnsi="Times New Roman" w:cs="Times New Roman"/>
                <w:color w:val="auto"/>
                <w:sz w:val="28"/>
                <w:szCs w:val="28"/>
              </w:rPr>
              <w:t>“长江江豚湾”</w:t>
            </w:r>
            <w:bookmarkEnd w:id="243"/>
            <w:bookmarkEnd w:id="244"/>
            <w:r>
              <w:rPr>
                <w:rFonts w:hint="default" w:ascii="Times New Roman" w:hAnsi="Times New Roman" w:cs="Times New Roman"/>
                <w:color w:val="auto"/>
                <w:sz w:val="28"/>
                <w:szCs w:val="28"/>
              </w:rPr>
              <w:t>，打造长江江豚文化公园，融合长江江豚保护的生态价值与文化价值，形成长江江豚保护的“武汉模式”。</w:t>
            </w:r>
          </w:p>
          <w:p w14:paraId="09CE8045">
            <w:pPr>
              <w:pStyle w:val="33"/>
              <w:numPr>
                <w:ilvl w:val="255"/>
                <w:numId w:val="0"/>
              </w:numPr>
              <w:spacing w:line="500" w:lineRule="exact"/>
              <w:rPr>
                <w:rFonts w:hint="default" w:ascii="Times New Roman" w:hAnsi="Times New Roman" w:cs="Times New Roman"/>
                <w:color w:val="auto"/>
              </w:rPr>
            </w:pPr>
            <w:r>
              <w:rPr>
                <w:rFonts w:hint="default" w:ascii="Times New Roman" w:hAnsi="Times New Roman" w:cs="Times New Roman"/>
                <w:color w:val="auto"/>
                <w:sz w:val="28"/>
                <w:szCs w:val="28"/>
              </w:rPr>
              <w:t>3.谋划建设长江江豚保护区。</w:t>
            </w:r>
            <w:bookmarkStart w:id="245" w:name="OLE_LINK89"/>
            <w:bookmarkStart w:id="246" w:name="OLE_LINK90"/>
            <w:bookmarkStart w:id="247" w:name="OLE_LINK91"/>
            <w:r>
              <w:rPr>
                <w:rFonts w:hint="default" w:ascii="Times New Roman" w:hAnsi="Times New Roman" w:cs="Times New Roman"/>
                <w:color w:val="auto"/>
                <w:sz w:val="28"/>
                <w:szCs w:val="28"/>
              </w:rPr>
              <w:t>根据《中华人民共和国自然保护区条例》相关规定，开展长江江豚保护区建设前期调查、论证、评价等工作，适时在长江江豚活跃的区域（金口</w:t>
            </w:r>
            <w:r>
              <w:rPr>
                <w:rFonts w:hint="default" w:ascii="Times New Roman" w:hAnsi="Times New Roman" w:cs="Times New Roman"/>
                <w:color w:val="auto"/>
                <w:sz w:val="28"/>
                <w:szCs w:val="28"/>
                <w:highlight w:val="none"/>
              </w:rPr>
              <w:t>、天兴洲、双柳水域等）开展设立自然保护区的前期科考工作，</w:t>
            </w:r>
            <w:r>
              <w:rPr>
                <w:rFonts w:hint="default" w:ascii="Times New Roman" w:hAnsi="Times New Roman" w:cs="Times New Roman"/>
                <w:color w:val="auto"/>
                <w:sz w:val="28"/>
                <w:szCs w:val="28"/>
                <w:highlight w:val="none"/>
                <w:lang w:eastAsia="zh-CN"/>
              </w:rPr>
              <w:t>加强与</w:t>
            </w:r>
            <w:r>
              <w:rPr>
                <w:rFonts w:hint="default" w:ascii="Times New Roman" w:hAnsi="Times New Roman" w:cs="Times New Roman"/>
                <w:color w:val="auto"/>
                <w:sz w:val="28"/>
                <w:szCs w:val="28"/>
                <w:highlight w:val="none"/>
                <w:lang w:val="en-US" w:eastAsia="zh-CN"/>
              </w:rPr>
              <w:t>《武汉港总体规划（2035年）》等规划的衔接，</w:t>
            </w:r>
            <w:r>
              <w:rPr>
                <w:rFonts w:hint="default" w:ascii="Times New Roman" w:hAnsi="Times New Roman" w:cs="Times New Roman"/>
                <w:color w:val="auto"/>
                <w:sz w:val="28"/>
                <w:szCs w:val="28"/>
                <w:highlight w:val="none"/>
              </w:rPr>
              <w:t>在条件成熟的情况下，申请建立地方级长江江豚自然保护区，推进长</w:t>
            </w:r>
            <w:r>
              <w:rPr>
                <w:rFonts w:hint="default" w:ascii="Times New Roman" w:hAnsi="Times New Roman" w:cs="Times New Roman"/>
                <w:color w:val="auto"/>
                <w:sz w:val="28"/>
                <w:szCs w:val="28"/>
              </w:rPr>
              <w:t>江江豚就地保护。</w:t>
            </w:r>
            <w:bookmarkEnd w:id="245"/>
            <w:bookmarkEnd w:id="246"/>
            <w:bookmarkEnd w:id="247"/>
          </w:p>
        </w:tc>
      </w:tr>
    </w:tbl>
    <w:p w14:paraId="6A198761">
      <w:pPr>
        <w:pStyle w:val="3"/>
        <w:ind w:firstLine="640"/>
        <w:rPr>
          <w:rFonts w:hint="default" w:ascii="Times New Roman" w:hAnsi="Times New Roman" w:cs="Times New Roman"/>
          <w:color w:val="auto"/>
        </w:rPr>
      </w:pPr>
    </w:p>
    <w:bookmarkEnd w:id="241"/>
    <w:bookmarkEnd w:id="242"/>
    <w:p w14:paraId="11DDC012">
      <w:pPr>
        <w:pStyle w:val="7"/>
        <w:ind w:firstLine="640"/>
        <w:jc w:val="both"/>
        <w:rPr>
          <w:rFonts w:hint="default" w:ascii="Times New Roman" w:hAnsi="Times New Roman" w:cs="Times New Roman"/>
          <w:b w:val="0"/>
          <w:bCs w:val="0"/>
          <w:color w:val="auto"/>
        </w:rPr>
      </w:pPr>
      <w:r>
        <w:rPr>
          <w:rFonts w:hint="default" w:ascii="Times New Roman" w:hAnsi="Times New Roman" w:cs="Times New Roman"/>
          <w:b w:val="0"/>
          <w:bCs w:val="0"/>
          <w:color w:val="auto"/>
        </w:rPr>
        <w:t>行动12：开展森林生态系统保护修复</w:t>
      </w:r>
      <w:bookmarkEnd w:id="233"/>
      <w:bookmarkEnd w:id="234"/>
      <w:bookmarkEnd w:id="235"/>
    </w:p>
    <w:p w14:paraId="078CC335">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行动目标：保护修复森林矿山，提升生物栖息地质量</w:t>
      </w:r>
    </w:p>
    <w:p w14:paraId="45E5DE89">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有序开展国土绿化，重点在蔡甸区、江夏区、黄陂区、新洲区等宜林荒山、荒地、荒滩实施造林绿化，增加林地面积。开展森林生态系统保护修复，改造马尾松、杉木等人工纯林林地，营造水源涵养林和生态防护林，加强珍稀濒危物种集中分布、繁殖、栖息的重点森林生态系统保护。加强破损山体保护修复，推动历史遗留废弃矿山生态修复，推进山体覆绿增绿。</w:t>
      </w:r>
    </w:p>
    <w:p w14:paraId="263DB38A">
      <w:pPr>
        <w:pStyle w:val="7"/>
        <w:ind w:firstLine="640"/>
        <w:jc w:val="both"/>
        <w:rPr>
          <w:rFonts w:hint="default" w:ascii="Times New Roman" w:hAnsi="Times New Roman" w:cs="Times New Roman"/>
          <w:b w:val="0"/>
          <w:bCs w:val="0"/>
          <w:color w:val="auto"/>
        </w:rPr>
      </w:pPr>
      <w:r>
        <w:rPr>
          <w:rFonts w:hint="default" w:ascii="Times New Roman" w:hAnsi="Times New Roman" w:cs="Times New Roman"/>
          <w:b w:val="0"/>
          <w:bCs w:val="0"/>
          <w:color w:val="auto"/>
        </w:rPr>
        <w:t>行动13：开展有害生物的预警与防控</w:t>
      </w:r>
    </w:p>
    <w:p w14:paraId="20648EC3">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行动目标：开展有害生物防控，降低有害生物的危害水平</w:t>
      </w:r>
    </w:p>
    <w:p w14:paraId="6AD4ECF6">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持续开展武汉市重点区域农林业有害生物的系统调查和评估，建立有害生物长期监测机制、生态风险预警机制和应急响应机制。建立疫情监测站点网络，对野生动物疫源疫病进行系统监测。规范野生动物疫源疫病监测、疫情上报制度，有效预防野生动物疫源疫病入境。加强对有害生物的综合防治研究，并进行示范推广。</w:t>
      </w:r>
    </w:p>
    <w:p w14:paraId="2A25F8F7">
      <w:pPr>
        <w:pStyle w:val="7"/>
        <w:ind w:firstLine="640"/>
        <w:jc w:val="both"/>
        <w:rPr>
          <w:rFonts w:hint="default" w:ascii="Times New Roman" w:hAnsi="Times New Roman" w:cs="Times New Roman"/>
          <w:b w:val="0"/>
          <w:bCs w:val="0"/>
          <w:color w:val="auto"/>
        </w:rPr>
      </w:pPr>
      <w:r>
        <w:rPr>
          <w:rFonts w:hint="default" w:ascii="Times New Roman" w:hAnsi="Times New Roman" w:cs="Times New Roman"/>
          <w:b w:val="0"/>
          <w:bCs w:val="0"/>
          <w:color w:val="auto"/>
        </w:rPr>
        <w:t>行动14：加强外来入侵物种监测、预警及控制</w:t>
      </w:r>
    </w:p>
    <w:p w14:paraId="09771508">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行动目标：推进外来入侵物种防控，降低外来入侵物种危害水平</w:t>
      </w:r>
    </w:p>
    <w:p w14:paraId="29268A60">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行动内容：开展武汉市外来入侵物种系统调查监测，推动外来入侵物种调查数据共享工作。建立外来物种环境风险评估制度及早期预警机制。严格外来物种引入审批，强化增殖放流监管，规范引导社会放生。加强</w:t>
      </w:r>
      <w:bookmarkStart w:id="248" w:name="OLE_LINK35"/>
      <w:bookmarkStart w:id="249" w:name="OLE_LINK36"/>
      <w:r>
        <w:rPr>
          <w:rFonts w:hint="default" w:ascii="Times New Roman" w:hAnsi="Times New Roman" w:cs="Times New Roman"/>
          <w:color w:val="auto"/>
        </w:rPr>
        <w:t>物种资源引进中</w:t>
      </w:r>
      <w:bookmarkEnd w:id="248"/>
      <w:bookmarkEnd w:id="249"/>
      <w:r>
        <w:rPr>
          <w:rFonts w:hint="default" w:ascii="Times New Roman" w:hAnsi="Times New Roman" w:cs="Times New Roman"/>
          <w:color w:val="auto"/>
        </w:rPr>
        <w:t>的外来有害生物防范。开展重点外来入侵物种入侵机制及防控技术研究，为危险性入侵物种的有效控制提供理论依据。</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4AE6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585CD635">
            <w:pPr>
              <w:pStyle w:val="3"/>
              <w:ind w:firstLine="0" w:firstLineChars="0"/>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专栏9 外来入侵物种防控与生物多样性保护</w:t>
            </w:r>
          </w:p>
        </w:tc>
      </w:tr>
      <w:tr w14:paraId="10FF7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310ADAEC">
            <w:pPr>
              <w:pStyle w:val="3"/>
              <w:spacing w:line="500" w:lineRule="exact"/>
              <w:ind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1.强化外来有害生物防范。加强物种资源引进中的松材线虫、日本松圆蚧、美国白蛾、红火蚁、草地贪夜蛾等有害生物入侵的防范。</w:t>
            </w:r>
          </w:p>
          <w:p w14:paraId="6C01A032">
            <w:pPr>
              <w:pStyle w:val="33"/>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开展外来入侵物种防控机理与技术研究。组织开展外来入侵物种（如加拿大一枝黄花、水葫芦、福寿螺等）对本地物种的种间竞争调研，并对其造成的生态及经济影响进行评估；筛选有效的生物防治技术（如茶皂素等生物农药），进行科学开发利用与推广。选取代表性的入侵物种，开展入侵途径、潜伏机能、生态适应性、种群变化和迁移规律、繁殖行为及潜在的基因交流危险性等生物学特性和成灾机理研究等。</w:t>
            </w:r>
          </w:p>
        </w:tc>
      </w:tr>
    </w:tbl>
    <w:p w14:paraId="7FC78375">
      <w:pPr>
        <w:pStyle w:val="3"/>
        <w:ind w:firstLine="0" w:firstLineChars="0"/>
        <w:rPr>
          <w:rFonts w:hint="default" w:ascii="Times New Roman" w:hAnsi="Times New Roman" w:cs="Times New Roman"/>
          <w:color w:val="auto"/>
        </w:rPr>
      </w:pPr>
    </w:p>
    <w:p w14:paraId="626DE05A">
      <w:pPr>
        <w:pStyle w:val="7"/>
        <w:ind w:firstLine="640"/>
        <w:jc w:val="both"/>
        <w:rPr>
          <w:rFonts w:hint="default" w:ascii="Times New Roman" w:hAnsi="Times New Roman" w:cs="Times New Roman"/>
          <w:b w:val="0"/>
          <w:bCs w:val="0"/>
          <w:color w:val="auto"/>
        </w:rPr>
      </w:pPr>
      <w:r>
        <w:rPr>
          <w:rFonts w:hint="default" w:ascii="Times New Roman" w:hAnsi="Times New Roman" w:cs="Times New Roman"/>
          <w:b w:val="0"/>
          <w:bCs w:val="0"/>
          <w:color w:val="auto"/>
        </w:rPr>
        <w:t>行动15：加强转基因生物安全监管</w:t>
      </w:r>
    </w:p>
    <w:p w14:paraId="2F859EB8">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w:t>
      </w:r>
      <w:bookmarkStart w:id="250" w:name="OLE_LINK37"/>
      <w:r>
        <w:rPr>
          <w:rFonts w:hint="default" w:ascii="Times New Roman" w:hAnsi="Times New Roman" w:cs="Times New Roman"/>
          <w:color w:val="auto"/>
        </w:rPr>
        <w:t>开展转基因物种监测管理，</w:t>
      </w:r>
      <w:bookmarkEnd w:id="250"/>
      <w:r>
        <w:rPr>
          <w:rFonts w:hint="default" w:ascii="Times New Roman" w:hAnsi="Times New Roman" w:cs="Times New Roman"/>
          <w:color w:val="auto"/>
        </w:rPr>
        <w:t>提升生物安全管理水平</w:t>
      </w:r>
    </w:p>
    <w:p w14:paraId="09F91CBE">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加强基因生物技术全流程管理，降低生物技术安全风险。禁止转基因生物在自然保护地、生态保护红线、生物多样性保护优先区等区域进行任何形式的环境释放。加大对大宗转基因农作物水稻、棉花、油菜等的环境安全评价与环境影响监测。研究开发转基因作物环境释放及废弃物处置技术，以及多种转基因作物在同一地区释放的环境风险监测技术。</w:t>
      </w:r>
    </w:p>
    <w:p w14:paraId="29B666F9">
      <w:pPr>
        <w:pStyle w:val="7"/>
        <w:ind w:firstLine="640"/>
        <w:jc w:val="both"/>
        <w:rPr>
          <w:rFonts w:hint="default" w:ascii="Times New Roman" w:hAnsi="Times New Roman" w:cs="Times New Roman"/>
          <w:b w:val="0"/>
          <w:bCs w:val="0"/>
          <w:color w:val="auto"/>
        </w:rPr>
      </w:pPr>
      <w:r>
        <w:rPr>
          <w:rFonts w:hint="default" w:ascii="Times New Roman" w:hAnsi="Times New Roman" w:cs="Times New Roman"/>
          <w:b w:val="0"/>
          <w:bCs w:val="0"/>
          <w:color w:val="auto"/>
        </w:rPr>
        <w:t>行动16：推动生物多样性保护与气候变化应对协同治理</w:t>
      </w:r>
    </w:p>
    <w:p w14:paraId="32F4E60C">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行动目标：探索气候变化与生物多样性相关联系，推动二者协同治理</w:t>
      </w:r>
    </w:p>
    <w:p w14:paraId="39EC962E">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积极开展应对气候变化的生物多样性保护行动研究与示范，评估气候变化对武汉市生物多样性的影响，开发气候变化对生物多样性影响的监测技术，建设物种迁徙廊道，降低气候变化对生物多样性的负面影响。培育优良动植物新品种，增强其适应气候变化的能力。</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3B667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02" w:type="dxa"/>
            <w:vAlign w:val="center"/>
          </w:tcPr>
          <w:p w14:paraId="320849F2">
            <w:pPr>
              <w:pStyle w:val="3"/>
              <w:ind w:firstLine="0" w:firstLineChars="0"/>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专栏10 气候变化与生物多样性保护</w:t>
            </w:r>
          </w:p>
        </w:tc>
      </w:tr>
      <w:tr w14:paraId="538F1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1AC38BF5">
            <w:pPr>
              <w:pStyle w:val="3"/>
              <w:numPr>
                <w:ilvl w:val="255"/>
                <w:numId w:val="0"/>
              </w:numPr>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1.生物多样性适应气候变化研究与示范。开展气候变化对武汉重要生态系统、物种、遗传资源及相关传统知识的影响，研究气候变化背景下生物多样性的动态、维持机制与保护对策。</w:t>
            </w:r>
          </w:p>
          <w:p w14:paraId="2F2074B6">
            <w:pPr>
              <w:pStyle w:val="3"/>
              <w:numPr>
                <w:ilvl w:val="255"/>
                <w:numId w:val="0"/>
              </w:numPr>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建设气候变化与生物多样性监测网络。开展气候因子、极端天气事件等的动态监测，结合不同生物类群种群大小、种群数量等动态变化，探索气候变化与生物多样性之间的内在联系，评估气候变化对生物多样性的影响。</w:t>
            </w:r>
          </w:p>
        </w:tc>
      </w:tr>
    </w:tbl>
    <w:p w14:paraId="1EC9EEB7">
      <w:pPr>
        <w:pStyle w:val="3"/>
        <w:ind w:firstLine="0" w:firstLineChars="0"/>
        <w:rPr>
          <w:rFonts w:hint="default" w:ascii="Times New Roman" w:hAnsi="Times New Roman" w:cs="Times New Roman"/>
          <w:color w:val="auto"/>
        </w:rPr>
      </w:pPr>
    </w:p>
    <w:p w14:paraId="0887A0E2">
      <w:pPr>
        <w:pStyle w:val="6"/>
        <w:ind w:firstLine="640"/>
        <w:jc w:val="both"/>
        <w:rPr>
          <w:rFonts w:hint="default" w:ascii="Times New Roman" w:hAnsi="Times New Roman" w:cs="Times New Roman"/>
          <w:b w:val="0"/>
          <w:bCs w:val="0"/>
          <w:color w:val="auto"/>
        </w:rPr>
      </w:pPr>
      <w:bookmarkStart w:id="251" w:name="_Toc147668108"/>
      <w:bookmarkStart w:id="252" w:name="_Toc15737"/>
      <w:bookmarkStart w:id="253" w:name="_Toc27866"/>
      <w:bookmarkStart w:id="254" w:name="_Toc5752"/>
      <w:bookmarkStart w:id="255" w:name="_Toc14305"/>
      <w:bookmarkStart w:id="256" w:name="_Toc28537"/>
      <w:bookmarkStart w:id="257" w:name="_Toc194476148"/>
      <w:r>
        <w:rPr>
          <w:rFonts w:hint="default" w:ascii="Times New Roman" w:hAnsi="Times New Roman" w:cs="Times New Roman"/>
          <w:b w:val="0"/>
          <w:bCs w:val="0"/>
          <w:color w:val="auto"/>
        </w:rPr>
        <w:t>领域三：深化生物多样性可持续开发利用</w:t>
      </w:r>
      <w:bookmarkEnd w:id="251"/>
      <w:bookmarkEnd w:id="252"/>
      <w:bookmarkEnd w:id="253"/>
      <w:bookmarkEnd w:id="254"/>
      <w:bookmarkEnd w:id="255"/>
      <w:bookmarkEnd w:id="256"/>
      <w:r>
        <w:rPr>
          <w:rFonts w:hint="default" w:ascii="Times New Roman" w:hAnsi="Times New Roman" w:cs="Times New Roman"/>
          <w:b w:val="0"/>
          <w:bCs w:val="0"/>
          <w:color w:val="auto"/>
        </w:rPr>
        <w:t>与惠益共享</w:t>
      </w:r>
      <w:bookmarkEnd w:id="257"/>
    </w:p>
    <w:p w14:paraId="124CD689">
      <w:pPr>
        <w:pStyle w:val="7"/>
        <w:ind w:firstLine="640"/>
        <w:jc w:val="both"/>
        <w:rPr>
          <w:rFonts w:hint="default" w:ascii="Times New Roman" w:hAnsi="Times New Roman" w:cs="Times New Roman"/>
          <w:b w:val="0"/>
          <w:bCs w:val="0"/>
          <w:color w:val="auto"/>
        </w:rPr>
      </w:pPr>
      <w:bookmarkStart w:id="258" w:name="_Toc3786"/>
      <w:bookmarkStart w:id="259" w:name="_Toc147668109"/>
      <w:bookmarkStart w:id="260" w:name="_Toc10498"/>
      <w:r>
        <w:rPr>
          <w:rFonts w:hint="default" w:ascii="Times New Roman" w:hAnsi="Times New Roman" w:cs="Times New Roman"/>
          <w:b w:val="0"/>
          <w:bCs w:val="0"/>
          <w:color w:val="auto"/>
        </w:rPr>
        <w:t>行动17：开展生物资源可持续利用示范</w:t>
      </w:r>
      <w:bookmarkEnd w:id="258"/>
      <w:bookmarkEnd w:id="259"/>
      <w:bookmarkEnd w:id="260"/>
    </w:p>
    <w:p w14:paraId="3BF255D4">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行动目标：优化利用手段与路径，推动生物资源可持续利用</w:t>
      </w:r>
    </w:p>
    <w:p w14:paraId="0DA86C2F">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利用新技术开发武汉市特色种质资源，鼓励生物技术研究创新，实现生物产业关键技术和重要产品研制的新突破。探索多途径的生物资源可持续利用，开发食、药、观赏等特色物种资源推广市场。基于武汉丰富的森林资源，发展“林下经济”模式。在不破坏湿地生态系统的前提下，探索推广稻渔综合种养、水产养殖模式。加强“洪山菜薹”“蔡甸莲藕”等特色生态农产品的品牌推广，进一步挖掘特色生物资源，培育生态产品品牌目录集群。</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0A4F4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6A65C38D">
            <w:pPr>
              <w:pStyle w:val="3"/>
              <w:ind w:firstLine="0" w:firstLineChars="0"/>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专栏11 生物多样性可持续利用</w:t>
            </w:r>
          </w:p>
        </w:tc>
      </w:tr>
      <w:tr w14:paraId="6465C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63906A37">
            <w:pPr>
              <w:pStyle w:val="3"/>
              <w:numPr>
                <w:ilvl w:val="255"/>
                <w:numId w:val="0"/>
              </w:numPr>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1.特色种质资源开发利用。开发利用武汉市特色林业、观赏花卉、药用生物和水产生物等种质资源，开展种质基因的鉴定、整理和筛选，培育优良新品种，减少对野生生物资源的依赖和破坏。</w:t>
            </w:r>
          </w:p>
          <w:p w14:paraId="79D0EA8E">
            <w:pPr>
              <w:pStyle w:val="33"/>
              <w:numPr>
                <w:ilvl w:val="255"/>
                <w:numId w:val="0"/>
              </w:numPr>
              <w:spacing w:line="500" w:lineRule="exact"/>
              <w:rPr>
                <w:rFonts w:hint="default" w:ascii="Times New Roman" w:hAnsi="Times New Roman" w:cs="Times New Roman"/>
                <w:color w:val="auto"/>
              </w:rPr>
            </w:pPr>
            <w:r>
              <w:rPr>
                <w:rFonts w:hint="default" w:ascii="Times New Roman" w:hAnsi="Times New Roman" w:cs="Times New Roman"/>
                <w:color w:val="auto"/>
                <w:sz w:val="28"/>
                <w:szCs w:val="28"/>
              </w:rPr>
              <w:t>2.特色生态产品品牌打造与推广。依托“江城百臻”品牌建设，擦亮“洪山菜薹”等区域公共品牌，推进“武汉活鱼”“蔡甸莲藕”“汪集鸡汤”等品牌矩阵建设。</w:t>
            </w:r>
          </w:p>
        </w:tc>
      </w:tr>
    </w:tbl>
    <w:p w14:paraId="536E6851">
      <w:pPr>
        <w:pStyle w:val="3"/>
        <w:ind w:firstLine="0" w:firstLineChars="0"/>
        <w:rPr>
          <w:rFonts w:hint="default" w:ascii="Times New Roman" w:hAnsi="Times New Roman" w:cs="Times New Roman"/>
          <w:color w:val="auto"/>
        </w:rPr>
      </w:pPr>
    </w:p>
    <w:p w14:paraId="6CDA21BC">
      <w:pPr>
        <w:pStyle w:val="7"/>
        <w:ind w:firstLine="640"/>
        <w:jc w:val="both"/>
        <w:rPr>
          <w:rFonts w:hint="default" w:ascii="Times New Roman" w:hAnsi="Times New Roman" w:cs="Times New Roman"/>
          <w:b w:val="0"/>
          <w:bCs w:val="0"/>
          <w:color w:val="auto"/>
        </w:rPr>
      </w:pPr>
      <w:bookmarkStart w:id="261" w:name="_Toc31518"/>
      <w:bookmarkStart w:id="262" w:name="_Toc2937"/>
      <w:bookmarkStart w:id="263" w:name="_Toc147668110"/>
      <w:r>
        <w:rPr>
          <w:rFonts w:hint="default" w:ascii="Times New Roman" w:hAnsi="Times New Roman" w:cs="Times New Roman"/>
          <w:b w:val="0"/>
          <w:bCs w:val="0"/>
          <w:color w:val="auto"/>
        </w:rPr>
        <w:t>行动18：开展惠益共享示范</w:t>
      </w:r>
      <w:bookmarkEnd w:id="261"/>
      <w:bookmarkEnd w:id="262"/>
      <w:bookmarkEnd w:id="263"/>
    </w:p>
    <w:p w14:paraId="7AB81AF1">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行动目标：开展生物遗传资源调查，推动惠益共享</w:t>
      </w:r>
    </w:p>
    <w:p w14:paraId="49B60D4D">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开展武汉市重点地区生物遗传资源调查与编目，建立遗传资源数据库。深入调查部分典型的生物遗传资源开发利用现状，形成典型案例，开展获取与惠益分享试点示范、推广。采取有效措施，继承和发展有应用价值的传统知识、适用技术和相关传统文化，强化生物多样性相关传统知识开发应用，提升公众对生物多样性相关传统知识的文化自信。</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2CE21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69CE79CF">
            <w:pPr>
              <w:pStyle w:val="3"/>
              <w:ind w:firstLine="0" w:firstLineChars="0"/>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专栏12 生物遗传资源调查与惠益共享</w:t>
            </w:r>
          </w:p>
        </w:tc>
      </w:tr>
      <w:tr w14:paraId="3435F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342E1AB8">
            <w:pPr>
              <w:pStyle w:val="3"/>
              <w:numPr>
                <w:ilvl w:val="255"/>
                <w:numId w:val="0"/>
              </w:numPr>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生物遗传资源调查惠益分享试点示范。开展武汉市重点地区农业野生植物与栽培作物品种资源、畜牧遗传资源调查与编目，建立遗传资源数据库。选择部分典型的生物遗传资源，对其开发利用现状进行深入调查，研究并提出获取与惠益分享的机制与模式，形成典型案例。</w:t>
            </w:r>
          </w:p>
          <w:p w14:paraId="725CE244">
            <w:pPr>
              <w:pStyle w:val="33"/>
              <w:numPr>
                <w:ilvl w:val="255"/>
                <w:numId w:val="0"/>
              </w:numPr>
              <w:spacing w:line="500" w:lineRule="exact"/>
              <w:rPr>
                <w:rFonts w:hint="default" w:ascii="Times New Roman" w:hAnsi="Times New Roman" w:cs="Times New Roman"/>
                <w:color w:val="auto"/>
              </w:rPr>
            </w:pPr>
            <w:r>
              <w:rPr>
                <w:rFonts w:hint="default" w:ascii="Times New Roman" w:hAnsi="Times New Roman" w:cs="Times New Roman"/>
                <w:color w:val="auto"/>
                <w:sz w:val="28"/>
                <w:szCs w:val="28"/>
              </w:rPr>
              <w:t>2.生物多样性相关传统知识开发应用。保护传承和推广汉派中药炮制技艺、</w:t>
            </w:r>
            <w:r>
              <w:rPr>
                <w:rFonts w:hint="default" w:ascii="Times New Roman" w:hAnsi="Times New Roman" w:cs="Times New Roman" w:eastAsiaTheme="minorEastAsia"/>
                <w:color w:val="auto"/>
                <w:sz w:val="28"/>
                <w:szCs w:val="28"/>
              </w:rPr>
              <w:t>鮰</w:t>
            </w:r>
            <w:r>
              <w:rPr>
                <w:rFonts w:hint="default" w:ascii="Times New Roman" w:hAnsi="Times New Roman" w:cs="Times New Roman"/>
                <w:color w:val="auto"/>
                <w:sz w:val="28"/>
                <w:szCs w:val="28"/>
              </w:rPr>
              <w:t>鱼制作技艺、传统植物染料染色技艺等传统非物质文化遗产技艺；弘扬蔡甸莲文化、沉湖渔业文化等传统文化，以及“汉阳树”“黄陂山茶古树”等古树名木文化。</w:t>
            </w:r>
          </w:p>
        </w:tc>
      </w:tr>
    </w:tbl>
    <w:p w14:paraId="4DC9EA13">
      <w:pPr>
        <w:pStyle w:val="3"/>
        <w:ind w:firstLine="0" w:firstLineChars="0"/>
        <w:rPr>
          <w:rFonts w:hint="default" w:ascii="Times New Roman" w:hAnsi="Times New Roman" w:cs="Times New Roman"/>
          <w:color w:val="auto"/>
        </w:rPr>
      </w:pPr>
    </w:p>
    <w:p w14:paraId="1E81F5C2">
      <w:pPr>
        <w:pStyle w:val="7"/>
        <w:ind w:firstLine="640"/>
        <w:jc w:val="both"/>
        <w:rPr>
          <w:rFonts w:hint="default" w:ascii="Times New Roman" w:hAnsi="Times New Roman" w:cs="Times New Roman"/>
          <w:b w:val="0"/>
          <w:bCs w:val="0"/>
          <w:color w:val="auto"/>
        </w:rPr>
      </w:pPr>
      <w:bookmarkStart w:id="264" w:name="_Toc28157"/>
      <w:bookmarkStart w:id="265" w:name="_Toc147668111"/>
      <w:bookmarkStart w:id="266" w:name="_Toc17235"/>
      <w:r>
        <w:rPr>
          <w:rFonts w:hint="default" w:ascii="Times New Roman" w:hAnsi="Times New Roman" w:cs="Times New Roman"/>
          <w:b w:val="0"/>
          <w:bCs w:val="0"/>
          <w:color w:val="auto"/>
        </w:rPr>
        <w:t>行动19：发展生态旅游</w:t>
      </w:r>
      <w:bookmarkEnd w:id="264"/>
      <w:bookmarkEnd w:id="265"/>
      <w:bookmarkEnd w:id="266"/>
    </w:p>
    <w:p w14:paraId="758A370F">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行动目标：利用生物多样性资源优势，发展生态旅游产业</w:t>
      </w:r>
    </w:p>
    <w:p w14:paraId="1B04B051">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加强生物多样性保护与生态旅游开发的协同发展研究与实践，积极探索生物多样性有效转化路径。立足武汉市自然山水资源、红色文化和农业特色资源，发展赏花经济、滨水生态旅游等文旅产业，推进“文化＋农业＋旅游”产业，打造滨水湿地、江滩碧道、森林康养、生态人文等特色生态旅游主题。</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6B17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65E0715E">
            <w:pPr>
              <w:pStyle w:val="3"/>
              <w:ind w:firstLine="0" w:firstLineChars="0"/>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专栏13 生物多样性与生态旅游</w:t>
            </w:r>
          </w:p>
        </w:tc>
      </w:tr>
      <w:tr w14:paraId="278B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02" w:type="dxa"/>
            <w:vAlign w:val="center"/>
          </w:tcPr>
          <w:p w14:paraId="32D80A80">
            <w:pPr>
              <w:pStyle w:val="3"/>
              <w:spacing w:line="500" w:lineRule="exact"/>
              <w:ind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生物多样性保护与生态旅游协同发展研究与实践。结合武汉市自然资源、生态环境、交通区位及产业特点，加强生物多样性保护与生态旅游开发的协同发展研究与实践，开展生态旅游法律法规、体制机制、政策标准、资源界定、市场应用等方面的研究。</w:t>
            </w:r>
          </w:p>
          <w:p w14:paraId="3D44D5FD">
            <w:pPr>
              <w:pStyle w:val="33"/>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2.开展生态赋能文旅产业行动。依托东湖、</w:t>
            </w:r>
            <w:bookmarkStart w:id="267" w:name="OLE_LINK55"/>
            <w:r>
              <w:rPr>
                <w:rFonts w:hint="default" w:ascii="Times New Roman" w:hAnsi="Times New Roman" w:cs="Times New Roman"/>
                <w:color w:val="auto"/>
                <w:sz w:val="28"/>
                <w:szCs w:val="28"/>
              </w:rPr>
              <w:t>木兰等国家5A级旅游景区</w:t>
            </w:r>
            <w:bookmarkEnd w:id="267"/>
            <w:r>
              <w:rPr>
                <w:rFonts w:hint="default" w:ascii="Times New Roman" w:hAnsi="Times New Roman" w:cs="Times New Roman"/>
                <w:color w:val="auto"/>
                <w:sz w:val="28"/>
                <w:szCs w:val="28"/>
              </w:rPr>
              <w:t>和沉湖国际湿地生态窗口，进一步开展“相约春天赏樱花”系列活动，擦亮“春赏樱、夏看荷、秋品桂、冬观梅”的四季花城品牌。打造特色花卉旅游品牌、磨山赏花旅游区、落雁湿地生态旅游区、马鞍山森林旅游区、鼓架国际新景区。</w:t>
            </w:r>
          </w:p>
          <w:p w14:paraId="582956DA">
            <w:pPr>
              <w:pStyle w:val="33"/>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3.开展生态赋能运动休闲产业行动。依托江河、湖泊、风景名胜区、城市公园等生态资源，植入“绿色生活·潮流风尚”运动休闲场景，推动春樱与汉马、夏荷与渡江、秋桂与武网、冬梅与冰雪深度融合。</w:t>
            </w:r>
          </w:p>
          <w:p w14:paraId="2E41F93B">
            <w:pPr>
              <w:pStyle w:val="33"/>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4.开展生态赋能农业行动。以武汉市级都市田园综合体建设成果为抓手，打造乡村生态振兴示范样板。加快“农康旅”融合发展，构建“医、游、食、养”一体的现代“生态+大健康”产业体系。</w:t>
            </w:r>
          </w:p>
        </w:tc>
      </w:tr>
    </w:tbl>
    <w:p w14:paraId="007FBA11">
      <w:pPr>
        <w:pStyle w:val="3"/>
        <w:ind w:firstLine="0" w:firstLineChars="0"/>
        <w:rPr>
          <w:rFonts w:hint="default" w:ascii="Times New Roman" w:hAnsi="Times New Roman" w:cs="Times New Roman"/>
          <w:color w:val="auto"/>
        </w:rPr>
      </w:pPr>
    </w:p>
    <w:p w14:paraId="587B45C6">
      <w:pPr>
        <w:pStyle w:val="7"/>
        <w:ind w:firstLine="640"/>
        <w:jc w:val="both"/>
        <w:rPr>
          <w:rFonts w:hint="default" w:ascii="Times New Roman" w:hAnsi="Times New Roman" w:cs="Times New Roman"/>
          <w:b w:val="0"/>
          <w:bCs w:val="0"/>
          <w:color w:val="auto"/>
        </w:rPr>
      </w:pPr>
      <w:bookmarkStart w:id="268" w:name="_Toc147668112"/>
      <w:bookmarkStart w:id="269" w:name="_Toc17259"/>
      <w:bookmarkStart w:id="270" w:name="_Toc30983"/>
      <w:r>
        <w:rPr>
          <w:rFonts w:hint="default" w:ascii="Times New Roman" w:hAnsi="Times New Roman" w:cs="Times New Roman"/>
          <w:b w:val="0"/>
          <w:bCs w:val="0"/>
          <w:color w:val="auto"/>
        </w:rPr>
        <w:t>行动20：建立健全生态产品价值实现机制</w:t>
      </w:r>
      <w:bookmarkEnd w:id="268"/>
      <w:bookmarkEnd w:id="269"/>
      <w:bookmarkEnd w:id="270"/>
    </w:p>
    <w:p w14:paraId="67F54A33">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行动目标：建立核算体系，完善生态产品价值实现机制</w:t>
      </w:r>
    </w:p>
    <w:p w14:paraId="06CF033B">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行动内容：建立武汉市生态产品调查监测机制，推进自然资源确权登记，实施生态产品信息普查。</w:t>
      </w:r>
      <w:r>
        <w:rPr>
          <w:rFonts w:hint="default" w:ascii="Times New Roman" w:hAnsi="Times New Roman" w:cs="Times New Roman"/>
          <w:color w:val="auto"/>
          <w:szCs w:val="40"/>
        </w:rPr>
        <w:t>开展</w:t>
      </w:r>
      <w:bookmarkStart w:id="271" w:name="OLE_LINK56"/>
      <w:r>
        <w:rPr>
          <w:rFonts w:hint="default" w:ascii="Times New Roman" w:hAnsi="Times New Roman" w:cs="Times New Roman"/>
          <w:color w:val="auto"/>
          <w:szCs w:val="40"/>
        </w:rPr>
        <w:t>新洲区生态产品总值核算试点</w:t>
      </w:r>
      <w:bookmarkEnd w:id="271"/>
      <w:r>
        <w:rPr>
          <w:rFonts w:hint="default" w:ascii="Times New Roman" w:hAnsi="Times New Roman" w:cs="Times New Roman"/>
          <w:color w:val="auto"/>
          <w:szCs w:val="40"/>
        </w:rPr>
        <w:t>，推动生物资源产业化发展，</w:t>
      </w:r>
      <w:r>
        <w:rPr>
          <w:rFonts w:hint="default" w:ascii="Times New Roman" w:hAnsi="Times New Roman" w:cs="Times New Roman"/>
          <w:color w:val="auto"/>
        </w:rPr>
        <w:t>建立具有武汉特色的生态产品价值核算体系</w:t>
      </w:r>
      <w:r>
        <w:rPr>
          <w:rFonts w:hint="default" w:ascii="Times New Roman" w:hAnsi="Times New Roman" w:cs="Times New Roman"/>
          <w:color w:val="auto"/>
          <w:szCs w:val="40"/>
        </w:rPr>
        <w:t>。建立</w:t>
      </w:r>
      <w:r>
        <w:rPr>
          <w:rFonts w:hint="default" w:ascii="Times New Roman" w:hAnsi="Times New Roman" w:cs="Times New Roman"/>
          <w:color w:val="auto"/>
        </w:rPr>
        <w:t>健全生态产品价值实现保障机制，探索建立生态产品价值实现考核评价，将核算结果应用于财政转移支付、领导干部自然资源资产离任审计等领域。</w:t>
      </w:r>
    </w:p>
    <w:p w14:paraId="77615B3F">
      <w:pPr>
        <w:pStyle w:val="7"/>
        <w:ind w:firstLine="640"/>
        <w:jc w:val="both"/>
        <w:rPr>
          <w:rFonts w:hint="default" w:ascii="Times New Roman" w:hAnsi="Times New Roman" w:cs="Times New Roman"/>
          <w:b w:val="0"/>
          <w:bCs w:val="0"/>
          <w:color w:val="auto"/>
        </w:rPr>
      </w:pPr>
      <w:bookmarkStart w:id="272" w:name="_Toc147668113"/>
      <w:bookmarkStart w:id="273" w:name="_Toc3875"/>
      <w:bookmarkStart w:id="274" w:name="_Toc30755"/>
      <w:r>
        <w:rPr>
          <w:rFonts w:hint="default" w:ascii="Times New Roman" w:hAnsi="Times New Roman" w:cs="Times New Roman"/>
          <w:b w:val="0"/>
          <w:bCs w:val="0"/>
          <w:color w:val="auto"/>
        </w:rPr>
        <w:t>行动21：</w:t>
      </w:r>
      <w:bookmarkEnd w:id="272"/>
      <w:bookmarkEnd w:id="273"/>
      <w:bookmarkEnd w:id="274"/>
      <w:r>
        <w:rPr>
          <w:rFonts w:hint="default" w:ascii="Times New Roman" w:hAnsi="Times New Roman" w:cs="Times New Roman"/>
          <w:b w:val="0"/>
          <w:bCs w:val="0"/>
          <w:color w:val="auto"/>
        </w:rPr>
        <w:t>加强城市生物多样性保护</w:t>
      </w:r>
    </w:p>
    <w:p w14:paraId="7914454A">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行动目标：构建城市生物多样性保护与发展模式，推进城市生物多样性系统性保护</w:t>
      </w:r>
    </w:p>
    <w:p w14:paraId="3E92968E">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推动武汉市开展城市生物多样性及相关传统知识调查，逐步建立城市生物多样性常态化监测体系。持续推进武汉市争创国内各类示范创建，积极申报国际生态城市。探索开展生物多样性友好城市建设，加强乡土物种在城市生态修复和环境质量改善中的应用。不断提升城市生物多样性管理水平，持续保护城市本地濒危物种。</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17A45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0BBF0F53">
            <w:pPr>
              <w:pStyle w:val="3"/>
              <w:ind w:firstLine="0" w:firstLineChars="0"/>
              <w:jc w:val="center"/>
              <w:rPr>
                <w:rFonts w:hint="default" w:ascii="Times New Roman" w:hAnsi="Times New Roman" w:cs="Times New Roman"/>
                <w:color w:val="auto"/>
                <w:sz w:val="28"/>
                <w:szCs w:val="28"/>
              </w:rPr>
            </w:pPr>
            <w:bookmarkStart w:id="275" w:name="OLE_LINK39"/>
            <w:bookmarkStart w:id="276" w:name="OLE_LINK40"/>
            <w:r>
              <w:rPr>
                <w:rFonts w:hint="default" w:ascii="Times New Roman" w:hAnsi="Times New Roman" w:cs="Times New Roman"/>
                <w:color w:val="auto"/>
                <w:sz w:val="28"/>
                <w:szCs w:val="28"/>
              </w:rPr>
              <w:t>专栏14 城市生物多样性保护</w:t>
            </w:r>
          </w:p>
        </w:tc>
      </w:tr>
      <w:tr w14:paraId="2F661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200B0874">
            <w:pPr>
              <w:pStyle w:val="3"/>
              <w:spacing w:line="500" w:lineRule="exact"/>
              <w:ind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1.争创国内外城市生物多样性</w:t>
            </w:r>
            <w:r>
              <w:rPr>
                <w:rFonts w:hint="default" w:ascii="Times New Roman" w:hAnsi="Times New Roman" w:cs="Times New Roman"/>
                <w:color w:val="auto"/>
                <w:sz w:val="28"/>
                <w:szCs w:val="28"/>
                <w:lang w:eastAsia="zh-CN"/>
              </w:rPr>
              <w:t>保护</w:t>
            </w:r>
            <w:r>
              <w:rPr>
                <w:rFonts w:hint="default" w:ascii="Times New Roman" w:hAnsi="Times New Roman" w:cs="Times New Roman"/>
                <w:color w:val="auto"/>
                <w:sz w:val="28"/>
                <w:szCs w:val="28"/>
              </w:rPr>
              <w:t>典范。持续将生物多样性保护融入生态园林城市、美丽城市、生态文明建设示范市、“绿水青山就是金山银山”实践创新基地等建设工作中，积极申报“生物多样性魅力城市”“自然城市”等国际生态城市。</w:t>
            </w:r>
          </w:p>
          <w:p w14:paraId="46484830">
            <w:pPr>
              <w:pStyle w:val="3"/>
              <w:spacing w:line="500" w:lineRule="exact"/>
              <w:ind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2.生物多样性友好城市试点建设。鼓励社区、园区、高校等开展生物多样性友好城市单元建设，推进社区生物多样性长廊和城中湖泊生态浮岛建设，对园区河道进行生态化改造，打造高校自然保护小区。</w:t>
            </w:r>
          </w:p>
          <w:p w14:paraId="306DF122">
            <w:pPr>
              <w:pStyle w:val="3"/>
              <w:spacing w:line="500" w:lineRule="exact"/>
              <w:ind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3.城市鸟类多样性保护示范。在城市生态敏感区域开展生态隔音屏布设，打造暗夜社区；开展城市高楼对迁徙候鸟的影响评估，探索开展鸟类友好建筑设计改造指引研究，减少鸟撞等生态事故。</w:t>
            </w:r>
          </w:p>
        </w:tc>
      </w:tr>
      <w:bookmarkEnd w:id="275"/>
      <w:bookmarkEnd w:id="276"/>
    </w:tbl>
    <w:p w14:paraId="4BE0DD12">
      <w:pPr>
        <w:pStyle w:val="3"/>
        <w:ind w:firstLine="0" w:firstLineChars="0"/>
        <w:rPr>
          <w:rFonts w:hint="default" w:ascii="Times New Roman" w:hAnsi="Times New Roman" w:cs="Times New Roman"/>
          <w:color w:val="auto"/>
        </w:rPr>
      </w:pPr>
    </w:p>
    <w:p w14:paraId="036C2AEE">
      <w:pPr>
        <w:pStyle w:val="7"/>
        <w:ind w:firstLine="640"/>
        <w:jc w:val="both"/>
        <w:rPr>
          <w:rFonts w:hint="default" w:ascii="Times New Roman" w:hAnsi="Times New Roman" w:cs="Times New Roman"/>
          <w:b w:val="0"/>
          <w:bCs w:val="0"/>
          <w:color w:val="auto"/>
        </w:rPr>
      </w:pPr>
      <w:bookmarkStart w:id="277" w:name="_Toc30890"/>
      <w:bookmarkStart w:id="278" w:name="_Toc147668120"/>
      <w:bookmarkStart w:id="279" w:name="_Toc2603"/>
      <w:r>
        <w:rPr>
          <w:rFonts w:hint="default" w:ascii="Times New Roman" w:hAnsi="Times New Roman" w:cs="Times New Roman"/>
          <w:b w:val="0"/>
          <w:bCs w:val="0"/>
          <w:color w:val="auto"/>
        </w:rPr>
        <w:t>行动22：推进碳汇建设与交易</w:t>
      </w:r>
      <w:bookmarkEnd w:id="277"/>
      <w:bookmarkEnd w:id="278"/>
      <w:bookmarkEnd w:id="279"/>
    </w:p>
    <w:p w14:paraId="05DFD41A">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行动目标：挖掘碳汇项目开发潜力，推进碳交易行动</w:t>
      </w:r>
    </w:p>
    <w:p w14:paraId="76CCB55B">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w:t>
      </w:r>
      <w:bookmarkStart w:id="280" w:name="OLE_LINK38"/>
      <w:r>
        <w:rPr>
          <w:rFonts w:hint="default" w:ascii="Times New Roman" w:hAnsi="Times New Roman" w:cs="Times New Roman"/>
          <w:color w:val="auto"/>
        </w:rPr>
        <w:t>探索湿地碳汇研究应用，</w:t>
      </w:r>
      <w:bookmarkEnd w:id="280"/>
      <w:r>
        <w:rPr>
          <w:rFonts w:hint="default" w:ascii="Times New Roman" w:hAnsi="Times New Roman" w:cs="Times New Roman"/>
          <w:color w:val="auto"/>
        </w:rPr>
        <w:t>推进国家储备林建设，增加森林植被资源总量，实现生态系统固碳效能最大化。开展湿地、林业碳汇交易相关政策和相应市场交易机制研究。制定实施碳汇相关激励性政策措施，积极试点绿色金融，支持金融机构创新信贷产品，推进绿色信贷、绿色结算等金融产品和方式创新。</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066E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1910BF8C">
            <w:pPr>
              <w:pStyle w:val="3"/>
              <w:ind w:firstLine="0" w:firstLineChars="0"/>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专栏15 提高</w:t>
            </w:r>
            <w:bookmarkStart w:id="281" w:name="OLE_LINK97"/>
            <w:r>
              <w:rPr>
                <w:rFonts w:hint="default" w:ascii="Times New Roman" w:hAnsi="Times New Roman" w:cs="Times New Roman"/>
                <w:color w:val="auto"/>
                <w:sz w:val="28"/>
                <w:szCs w:val="28"/>
              </w:rPr>
              <w:t>生态系统碳汇能力</w:t>
            </w:r>
            <w:bookmarkEnd w:id="281"/>
          </w:p>
        </w:tc>
      </w:tr>
      <w:tr w14:paraId="5520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7B0290DE">
            <w:pPr>
              <w:pStyle w:val="3"/>
              <w:spacing w:line="500" w:lineRule="exact"/>
              <w:ind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1.构建湿地碳汇产品库。探索建立湿地碳汇产品目录清单和碳汇型生态农产品认证体系，建立健全碳标签体系，探索基于碳汇价值的生态保护补偿机制，促进碳中和成本和收益在区际间的合理分配。</w:t>
            </w:r>
          </w:p>
          <w:p w14:paraId="2E75EC13">
            <w:pPr>
              <w:pStyle w:val="3"/>
              <w:spacing w:line="500" w:lineRule="exact"/>
              <w:ind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2.增强森林固碳能力。以三列山系为重点区域，推进公益林建设，建设蔡甸区嵩阳山、江夏区灵山、新洲区将军山等碳中和林基地。</w:t>
            </w:r>
          </w:p>
        </w:tc>
      </w:tr>
    </w:tbl>
    <w:p w14:paraId="085EA0F2">
      <w:pPr>
        <w:ind w:firstLine="640"/>
        <w:jc w:val="both"/>
        <w:rPr>
          <w:rFonts w:hint="default" w:ascii="Times New Roman" w:hAnsi="Times New Roman" w:cs="Times New Roman"/>
          <w:color w:val="auto"/>
        </w:rPr>
      </w:pPr>
    </w:p>
    <w:p w14:paraId="78796D28">
      <w:pPr>
        <w:pStyle w:val="6"/>
        <w:ind w:firstLine="640"/>
        <w:jc w:val="both"/>
        <w:rPr>
          <w:rFonts w:hint="default" w:ascii="Times New Roman" w:hAnsi="Times New Roman" w:cs="Times New Roman"/>
          <w:b w:val="0"/>
          <w:bCs w:val="0"/>
          <w:color w:val="auto"/>
        </w:rPr>
      </w:pPr>
      <w:bookmarkStart w:id="282" w:name="_Toc16600"/>
      <w:bookmarkStart w:id="283" w:name="_Toc19002"/>
      <w:bookmarkStart w:id="284" w:name="_Toc147668121"/>
      <w:bookmarkStart w:id="285" w:name="_Toc29719"/>
      <w:bookmarkStart w:id="286" w:name="_Toc10425"/>
      <w:bookmarkStart w:id="287" w:name="_Toc23440"/>
      <w:bookmarkStart w:id="288" w:name="_Toc194476149"/>
      <w:r>
        <w:rPr>
          <w:rFonts w:hint="default" w:ascii="Times New Roman" w:hAnsi="Times New Roman" w:cs="Times New Roman"/>
          <w:b w:val="0"/>
          <w:bCs w:val="0"/>
          <w:color w:val="auto"/>
        </w:rPr>
        <w:t>领域四：切实提升生物多样性保护现代化治理能力</w:t>
      </w:r>
      <w:bookmarkEnd w:id="282"/>
      <w:bookmarkEnd w:id="283"/>
      <w:bookmarkEnd w:id="284"/>
      <w:bookmarkEnd w:id="285"/>
      <w:bookmarkEnd w:id="286"/>
      <w:bookmarkEnd w:id="287"/>
      <w:bookmarkEnd w:id="288"/>
    </w:p>
    <w:p w14:paraId="235FD347">
      <w:pPr>
        <w:pStyle w:val="7"/>
        <w:ind w:firstLine="640"/>
        <w:jc w:val="both"/>
        <w:rPr>
          <w:rFonts w:hint="default" w:ascii="Times New Roman" w:hAnsi="Times New Roman" w:cs="Times New Roman"/>
          <w:b w:val="0"/>
          <w:bCs w:val="0"/>
          <w:color w:val="auto"/>
        </w:rPr>
      </w:pPr>
      <w:bookmarkStart w:id="289" w:name="_Toc2780"/>
      <w:bookmarkStart w:id="290" w:name="_Toc147668122"/>
      <w:bookmarkStart w:id="291" w:name="_Toc24665"/>
      <w:r>
        <w:rPr>
          <w:rFonts w:hint="default" w:ascii="Times New Roman" w:hAnsi="Times New Roman" w:cs="Times New Roman"/>
          <w:b w:val="0"/>
          <w:bCs w:val="0"/>
          <w:color w:val="auto"/>
        </w:rPr>
        <w:t>行动23：建立生物多样性监测、评估与预警体系</w:t>
      </w:r>
    </w:p>
    <w:p w14:paraId="1014DE63">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行动目标：建立监测体系，掌握区域生物多样性动态变化</w:t>
      </w:r>
    </w:p>
    <w:p w14:paraId="5D814FBE">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行动内容：研究建设空-天-地一体化生物多样性监测网络体系，在自然保护区、风景名胜区、湿地公园等优先区域，以及珍稀濒危物种集中分布地，开展生物多样性监测；新建或改扩建固定生物多样性监测站点，</w:t>
      </w:r>
      <w:bookmarkStart w:id="292" w:name="OLE_LINK58"/>
      <w:bookmarkStart w:id="293" w:name="OLE_LINK57"/>
      <w:r>
        <w:rPr>
          <w:rFonts w:hint="default" w:ascii="Times New Roman" w:hAnsi="Times New Roman" w:cs="Times New Roman"/>
          <w:color w:val="auto"/>
        </w:rPr>
        <w:t>构建生物多样性综合监测网络体系</w:t>
      </w:r>
      <w:bookmarkEnd w:id="292"/>
      <w:bookmarkEnd w:id="293"/>
      <w:r>
        <w:rPr>
          <w:rFonts w:hint="default" w:ascii="Times New Roman" w:hAnsi="Times New Roman" w:cs="Times New Roman"/>
          <w:color w:val="auto"/>
        </w:rPr>
        <w:t>，对沉湖、东湖等重点区域及重要保护物种进行长期动态监测，形成全覆盖的监测、评估与预警体系。</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5ADC1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70400193">
            <w:pPr>
              <w:pStyle w:val="3"/>
              <w:ind w:firstLine="0" w:firstLineChars="0"/>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专栏16 生物多样性监测体系构建</w:t>
            </w:r>
          </w:p>
        </w:tc>
      </w:tr>
      <w:tr w14:paraId="198B2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6894419C">
            <w:pPr>
              <w:spacing w:line="500" w:lineRule="exact"/>
              <w:ind w:firstLine="0" w:firstLineChars="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构建生物多样性综合监测网络体系。以湖北东湖生态质量综合监测站（湿地）、湖北武汉城市生态质量综合监测站（城市）、沉湖湿地野外科学观测研究站等为骨架，新建或改扩建各类野外监测站点，构建武汉市生物多样性综合监测网络。</w:t>
            </w:r>
          </w:p>
          <w:p w14:paraId="1EF44311">
            <w:pPr>
              <w:pStyle w:val="3"/>
              <w:spacing w:line="500" w:lineRule="exact"/>
              <w:ind w:firstLine="0" w:firstLineChars="0"/>
              <w:rPr>
                <w:rFonts w:hint="default" w:ascii="Times New Roman" w:hAnsi="Times New Roman" w:cs="Times New Roman"/>
                <w:color w:val="auto"/>
              </w:rPr>
            </w:pPr>
            <w:r>
              <w:rPr>
                <w:rFonts w:hint="default" w:ascii="Times New Roman" w:hAnsi="Times New Roman" w:cs="Times New Roman"/>
                <w:color w:val="auto"/>
                <w:sz w:val="28"/>
                <w:szCs w:val="28"/>
              </w:rPr>
              <w:t>2.</w:t>
            </w:r>
            <w:bookmarkStart w:id="294" w:name="OLE_LINK65"/>
            <w:r>
              <w:rPr>
                <w:rFonts w:hint="default" w:ascii="Times New Roman" w:hAnsi="Times New Roman" w:cs="Times New Roman"/>
                <w:color w:val="auto"/>
                <w:sz w:val="28"/>
                <w:szCs w:val="28"/>
              </w:rPr>
              <w:t>生物多样性</w:t>
            </w:r>
            <w:bookmarkStart w:id="295" w:name="OLE_LINK64"/>
            <w:r>
              <w:rPr>
                <w:rFonts w:hint="default" w:ascii="Times New Roman" w:hAnsi="Times New Roman" w:cs="Times New Roman"/>
                <w:color w:val="auto"/>
                <w:sz w:val="28"/>
                <w:szCs w:val="28"/>
              </w:rPr>
              <w:t>智慧监测</w:t>
            </w:r>
            <w:bookmarkEnd w:id="294"/>
            <w:bookmarkEnd w:id="295"/>
            <w:r>
              <w:rPr>
                <w:rFonts w:hint="default" w:ascii="Times New Roman" w:hAnsi="Times New Roman" w:cs="Times New Roman"/>
                <w:color w:val="auto"/>
                <w:sz w:val="28"/>
                <w:szCs w:val="28"/>
              </w:rPr>
              <w:t>点建设。</w:t>
            </w:r>
            <w:bookmarkStart w:id="296" w:name="OLE_LINK63"/>
            <w:bookmarkStart w:id="297" w:name="OLE_LINK60"/>
            <w:bookmarkStart w:id="298" w:name="OLE_LINK59"/>
            <w:r>
              <w:rPr>
                <w:rFonts w:hint="default" w:ascii="Times New Roman" w:hAnsi="Times New Roman" w:cs="Times New Roman"/>
                <w:color w:val="auto"/>
                <w:sz w:val="28"/>
                <w:szCs w:val="28"/>
              </w:rPr>
              <w:t>以安山湿地公园</w:t>
            </w:r>
            <w:bookmarkEnd w:id="296"/>
            <w:bookmarkEnd w:id="297"/>
            <w:bookmarkEnd w:id="298"/>
            <w:bookmarkStart w:id="299" w:name="OLE_LINK61"/>
            <w:bookmarkStart w:id="300" w:name="OLE_LINK62"/>
            <w:r>
              <w:rPr>
                <w:rFonts w:hint="default" w:ascii="Times New Roman" w:hAnsi="Times New Roman" w:cs="Times New Roman"/>
                <w:color w:val="auto"/>
                <w:sz w:val="28"/>
                <w:szCs w:val="28"/>
              </w:rPr>
              <w:t>无人机巡护体系建设</w:t>
            </w:r>
            <w:bookmarkEnd w:id="299"/>
            <w:bookmarkEnd w:id="300"/>
            <w:r>
              <w:rPr>
                <w:rFonts w:hint="default" w:ascii="Times New Roman" w:hAnsi="Times New Roman" w:cs="Times New Roman"/>
                <w:color w:val="auto"/>
                <w:sz w:val="28"/>
                <w:szCs w:val="28"/>
              </w:rPr>
              <w:t>成果为基础，结合卫星遥感、激光雷达、红外相机、声纹记录仪等智能化监测手段和设备，构建生物多样性智慧监测网络。</w:t>
            </w:r>
          </w:p>
        </w:tc>
      </w:tr>
    </w:tbl>
    <w:p w14:paraId="689446F3">
      <w:pPr>
        <w:pStyle w:val="7"/>
        <w:ind w:firstLine="640"/>
        <w:jc w:val="both"/>
        <w:rPr>
          <w:rFonts w:hint="default" w:ascii="Times New Roman" w:hAnsi="Times New Roman" w:cs="Times New Roman"/>
          <w:b w:val="0"/>
          <w:bCs w:val="0"/>
          <w:color w:val="auto"/>
        </w:rPr>
      </w:pPr>
    </w:p>
    <w:p w14:paraId="3A92B1DD">
      <w:pPr>
        <w:pStyle w:val="7"/>
        <w:ind w:firstLine="640"/>
        <w:jc w:val="both"/>
        <w:rPr>
          <w:rFonts w:hint="default" w:ascii="Times New Roman" w:hAnsi="Times New Roman" w:cs="Times New Roman"/>
          <w:b w:val="0"/>
          <w:bCs w:val="0"/>
          <w:color w:val="auto"/>
        </w:rPr>
      </w:pPr>
      <w:r>
        <w:rPr>
          <w:rFonts w:hint="default" w:ascii="Times New Roman" w:hAnsi="Times New Roman" w:cs="Times New Roman"/>
          <w:b w:val="0"/>
          <w:bCs w:val="0"/>
          <w:color w:val="auto"/>
        </w:rPr>
        <w:t>行动24：构建生物多样性数据库和数字化监管平台</w:t>
      </w:r>
    </w:p>
    <w:p w14:paraId="561C097F">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行动目标：强化信息技术支撑，提高监管水平</w:t>
      </w:r>
    </w:p>
    <w:p w14:paraId="5F20F0EB">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对武汉市生物多样性的调查和监测数据进行数字化、图片化，构建生物多样性数据库，集成数据采集、传输、存储、查询、展示等功能。建设生物多样性数字化监管平台，优化武汉市现有的“生态绿盾”“智慧湿地”“数字江豚”等数字化平台，打通部门数据共享途径，建立大数据信息资源科学管理、共享与开发应用为一体的信息平台，形成生物多样性监管“一张图”，实现数据共享与展示，为武汉市生物多样性保护和监督管理提供决策支持。</w:t>
      </w:r>
    </w:p>
    <w:bookmarkEnd w:id="289"/>
    <w:bookmarkEnd w:id="290"/>
    <w:bookmarkEnd w:id="291"/>
    <w:p w14:paraId="3A4CC83A">
      <w:pPr>
        <w:pStyle w:val="7"/>
        <w:ind w:firstLine="640"/>
        <w:jc w:val="both"/>
        <w:rPr>
          <w:rFonts w:hint="default" w:ascii="Times New Roman" w:hAnsi="Times New Roman" w:cs="Times New Roman"/>
          <w:b w:val="0"/>
          <w:bCs w:val="0"/>
          <w:color w:val="auto"/>
        </w:rPr>
      </w:pPr>
      <w:bookmarkStart w:id="301" w:name="_Toc2176"/>
      <w:bookmarkStart w:id="302" w:name="_Toc32560"/>
      <w:bookmarkStart w:id="303" w:name="_Toc147668123"/>
      <w:r>
        <w:rPr>
          <w:rFonts w:hint="default" w:ascii="Times New Roman" w:hAnsi="Times New Roman" w:cs="Times New Roman"/>
          <w:b w:val="0"/>
          <w:bCs w:val="0"/>
          <w:color w:val="auto"/>
        </w:rPr>
        <w:t>行动25：加强生物多样性保护的科学研究和人才培养</w:t>
      </w:r>
      <w:bookmarkEnd w:id="301"/>
      <w:bookmarkEnd w:id="302"/>
      <w:bookmarkEnd w:id="303"/>
    </w:p>
    <w:p w14:paraId="4A161BAE">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行动目标：加强研究与人才培养，提高保护能力与人才储备</w:t>
      </w:r>
    </w:p>
    <w:p w14:paraId="5B679FB0">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加强生物多样性保护科研基础建设，推动创建东湖综合性国家科学中心，建设生物安全、生物育种等领域的科技创新平台。充分利用武汉科教资源优势，打造政府与高校生物多样性保护联盟，共同开展珍稀濒危物种资源保护专题研究，促进生物物种资源的持续利用。全面提高生物多样性保护领域专业人才培养力度，建设高素质人才队伍。拓宽人才柔性引进机制，通过挂职、专家工作站、专家服务基地等多种途径，使更多人才服务于武汉市生物多样性保护工作。</w:t>
      </w:r>
    </w:p>
    <w:p w14:paraId="2D914FD6">
      <w:pPr>
        <w:pStyle w:val="7"/>
        <w:ind w:firstLine="640"/>
        <w:jc w:val="both"/>
        <w:rPr>
          <w:rFonts w:hint="default" w:ascii="Times New Roman" w:hAnsi="Times New Roman" w:cs="Times New Roman"/>
          <w:b w:val="0"/>
          <w:bCs w:val="0"/>
          <w:color w:val="auto"/>
        </w:rPr>
      </w:pPr>
      <w:bookmarkStart w:id="304" w:name="_Toc17646"/>
      <w:bookmarkStart w:id="305" w:name="_Toc15594"/>
      <w:bookmarkStart w:id="306" w:name="_Toc147668124"/>
      <w:bookmarkStart w:id="307" w:name="_Toc18483"/>
      <w:bookmarkStart w:id="308" w:name="_Toc25040"/>
      <w:bookmarkStart w:id="309" w:name="_Toc28145"/>
      <w:r>
        <w:rPr>
          <w:rFonts w:hint="default" w:ascii="Times New Roman" w:hAnsi="Times New Roman" w:cs="Times New Roman"/>
          <w:b w:val="0"/>
          <w:bCs w:val="0"/>
          <w:color w:val="auto"/>
        </w:rPr>
        <w:t>行动26：完善生物多样性保护资金筹措机制</w:t>
      </w:r>
    </w:p>
    <w:p w14:paraId="17C700D4">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行动目标：完善资金筹措机制，保障保护资金投入</w:t>
      </w:r>
    </w:p>
    <w:p w14:paraId="0E00B75C">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拓宽生物多样性保护资金投入渠道，引导多方资金开展生物多样性保护。积极申报国家山水林田湖草沙一体化保护和修复工程、生物多样性保护重大工程等重大项目。引导有关个人和企业规范利用生物资源，发展野生生物资源人工繁育培育利用等绿色产业。建立健全相关机制，推动将开发利用所获得的部分收益反哺生物多样性保护，形成“谁开发谁保护，谁保护谁受益”的良性循环。</w:t>
      </w:r>
    </w:p>
    <w:p w14:paraId="67279652">
      <w:pPr>
        <w:pStyle w:val="7"/>
        <w:ind w:firstLine="640"/>
        <w:jc w:val="both"/>
        <w:rPr>
          <w:rFonts w:hint="default" w:ascii="Times New Roman" w:hAnsi="Times New Roman" w:cs="Times New Roman"/>
          <w:b w:val="0"/>
          <w:bCs w:val="0"/>
          <w:color w:val="auto"/>
        </w:rPr>
      </w:pPr>
      <w:r>
        <w:rPr>
          <w:rFonts w:hint="default" w:ascii="Times New Roman" w:hAnsi="Times New Roman" w:cs="Times New Roman"/>
          <w:b w:val="0"/>
          <w:bCs w:val="0"/>
          <w:color w:val="auto"/>
        </w:rPr>
        <w:t>行动27：加强生物多样性保护交流合作</w:t>
      </w:r>
    </w:p>
    <w:p w14:paraId="5AE8BE6F">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行动目标：吸收国内外先进保护理念和经验，提高生物多样性保护水平</w:t>
      </w:r>
    </w:p>
    <w:p w14:paraId="7DEABE6C">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以东亚—澳大利西亚候鸟迁徙研究中心武汉分中心为平台，积极开展武汉候鸟迁飞保护和监测体系建设，参与候鸟多样性保护国际合作。积极参加并主办、承办国际会议，交流和学习国际先进生物多样性保护理念和经验。积极申报实施国际生物多样性保护项目，以项目实施推动国际交流与合作，引进先进的管理经验和技术方法，进行试验和示范。与武汉都市圈相关城市定期交流与学习，分享生物多样性保护管理工作的经验。</w:t>
      </w:r>
    </w:p>
    <w:bookmarkEnd w:id="304"/>
    <w:bookmarkEnd w:id="305"/>
    <w:bookmarkEnd w:id="306"/>
    <w:bookmarkEnd w:id="307"/>
    <w:bookmarkEnd w:id="308"/>
    <w:bookmarkEnd w:id="309"/>
    <w:p w14:paraId="7B09459F">
      <w:pPr>
        <w:pStyle w:val="7"/>
        <w:ind w:firstLine="640"/>
        <w:jc w:val="both"/>
        <w:rPr>
          <w:rFonts w:hint="default" w:ascii="Times New Roman" w:hAnsi="Times New Roman" w:cs="Times New Roman"/>
          <w:b w:val="0"/>
          <w:bCs w:val="0"/>
          <w:color w:val="auto"/>
        </w:rPr>
      </w:pPr>
      <w:bookmarkStart w:id="310" w:name="_Toc13003"/>
      <w:bookmarkStart w:id="311" w:name="_Toc147668125"/>
      <w:bookmarkStart w:id="312" w:name="_Toc3478"/>
      <w:r>
        <w:rPr>
          <w:rFonts w:hint="default" w:ascii="Times New Roman" w:hAnsi="Times New Roman" w:cs="Times New Roman"/>
          <w:b w:val="0"/>
          <w:bCs w:val="0"/>
          <w:color w:val="auto"/>
        </w:rPr>
        <w:t>行动28：推进生物多样性保护宣传教育</w:t>
      </w:r>
      <w:bookmarkEnd w:id="310"/>
      <w:bookmarkEnd w:id="311"/>
      <w:bookmarkEnd w:id="312"/>
    </w:p>
    <w:p w14:paraId="5BAD2B83">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行动目标：开展多维度宣教，提升公众保护意识</w:t>
      </w:r>
    </w:p>
    <w:p w14:paraId="6A66A368">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开展自然类宣教基地建设，积极申报国家生态环境科普基地，开展不同类型的生物多样性研学活动与宣教活动。聚焦“长江文化”“长江江豚”宣传主题，扩大武汉长江江豚城市IP影响力，提升大美武汉生物多样性美誉度。广泛宣传生物多样性保护知识，推广有利于生物多样性保护的理念与行为规范，提高公民保护意识。以生态保护相关纪念日为契机，组织开展宣传教育活动，引导全社会积极参与生物多样性保护。</w:t>
      </w:r>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14:paraId="1839C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65FF6406">
            <w:pPr>
              <w:pStyle w:val="3"/>
              <w:ind w:firstLine="0" w:firstLineChars="0"/>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专栏17 生物多样性保护与宣教</w:t>
            </w:r>
          </w:p>
        </w:tc>
      </w:tr>
      <w:tr w14:paraId="6C20E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vAlign w:val="center"/>
          </w:tcPr>
          <w:p w14:paraId="676B88FB">
            <w:pPr>
              <w:pStyle w:val="3"/>
              <w:tabs>
                <w:tab w:val="left" w:pos="312"/>
              </w:tabs>
              <w:spacing w:line="500" w:lineRule="exact"/>
              <w:ind w:firstLine="0" w:firstLineChars="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1.打造生物多样性保护与宣传平台。以中国科学院水生生物研究所白</w:t>
            </w:r>
            <w:r>
              <w:rPr>
                <w:rFonts w:hint="default" w:ascii="Times New Roman" w:hAnsi="Times New Roman" w:eastAsia="仿宋" w:cs="Times New Roman"/>
                <w:color w:val="auto"/>
                <w:sz w:val="28"/>
                <w:szCs w:val="28"/>
              </w:rPr>
              <w:t>鱀</w:t>
            </w:r>
            <w:r>
              <w:rPr>
                <w:rFonts w:hint="default" w:ascii="Times New Roman" w:hAnsi="Times New Roman" w:cs="Times New Roman"/>
                <w:color w:val="auto"/>
                <w:sz w:val="28"/>
                <w:szCs w:val="28"/>
              </w:rPr>
              <w:t>豚馆为基础，打造中国第一个“水中大熊猫基地”，持续推动长江国家文化公园、长江博物馆、生物多样性体验地（馆）等自然类宣教基地建设，开展丰富多样的生物多样性研学与宣教活动。</w:t>
            </w:r>
          </w:p>
          <w:p w14:paraId="43103821">
            <w:pPr>
              <w:pStyle w:val="33"/>
              <w:tabs>
                <w:tab w:val="left" w:pos="312"/>
              </w:tabs>
              <w:spacing w:line="500" w:lineRule="exac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2.开展多维度宣教活动。以“国际生物多样性日”“世界湿地日”“六五环境日”“全国生态日”“爱鸟周”等节日为契机，开展主题宣传活动，多维度、深层次展现武汉生物多样性保护的生动实践。</w:t>
            </w:r>
          </w:p>
        </w:tc>
      </w:tr>
    </w:tbl>
    <w:p w14:paraId="64BE0943">
      <w:pPr>
        <w:pStyle w:val="3"/>
        <w:ind w:firstLine="0" w:firstLineChars="0"/>
        <w:rPr>
          <w:rFonts w:hint="default" w:ascii="Times New Roman" w:hAnsi="Times New Roman" w:cs="Times New Roman"/>
          <w:color w:val="auto"/>
        </w:rPr>
      </w:pPr>
    </w:p>
    <w:p w14:paraId="2B8401BF">
      <w:pPr>
        <w:pStyle w:val="7"/>
        <w:ind w:firstLine="640"/>
        <w:jc w:val="both"/>
        <w:rPr>
          <w:rFonts w:hint="default" w:ascii="Times New Roman" w:hAnsi="Times New Roman" w:cs="Times New Roman"/>
          <w:b w:val="0"/>
          <w:bCs w:val="0"/>
          <w:color w:val="auto"/>
        </w:rPr>
      </w:pPr>
      <w:bookmarkStart w:id="313" w:name="_Toc26552"/>
      <w:bookmarkStart w:id="314" w:name="_Toc25703"/>
      <w:bookmarkStart w:id="315" w:name="_Toc147668127"/>
      <w:r>
        <w:rPr>
          <w:rFonts w:hint="default" w:ascii="Times New Roman" w:hAnsi="Times New Roman" w:cs="Times New Roman"/>
          <w:b w:val="0"/>
          <w:bCs w:val="0"/>
          <w:color w:val="auto"/>
        </w:rPr>
        <w:t>行动29：建立生物多样性保护的公众参与和监督机制</w:t>
      </w:r>
      <w:bookmarkEnd w:id="313"/>
      <w:bookmarkEnd w:id="314"/>
      <w:bookmarkEnd w:id="315"/>
    </w:p>
    <w:p w14:paraId="61E3E635">
      <w:pPr>
        <w:ind w:firstLine="640"/>
        <w:jc w:val="both"/>
        <w:rPr>
          <w:rFonts w:hint="default" w:ascii="Times New Roman" w:hAnsi="Times New Roman" w:cs="Times New Roman"/>
          <w:color w:val="auto"/>
        </w:rPr>
      </w:pPr>
      <w:r>
        <w:rPr>
          <w:rFonts w:hint="default" w:ascii="Times New Roman" w:hAnsi="Times New Roman" w:cs="Times New Roman"/>
          <w:color w:val="auto"/>
        </w:rPr>
        <w:t>行动目标：建立公众参与和监督机制，提高生物多样性保护参与能力</w:t>
      </w:r>
    </w:p>
    <w:p w14:paraId="33C5F2BF">
      <w:pPr>
        <w:ind w:firstLine="640"/>
        <w:jc w:val="both"/>
        <w:rPr>
          <w:rFonts w:hint="default" w:ascii="Times New Roman" w:hAnsi="Times New Roman" w:cs="Times New Roman"/>
          <w:color w:val="auto"/>
        </w:rPr>
      </w:pPr>
      <w:r>
        <w:rPr>
          <w:rFonts w:hint="default" w:ascii="Times New Roman" w:hAnsi="Times New Roman" w:cs="Times New Roman"/>
          <w:color w:val="auto"/>
        </w:rPr>
        <w:t>行动内容：建立完善公众和民间组织参与生物多样性保护的机制和公众监督机制，多渠道增强公众与行政部门的互动，完善“志愿者”参与机制，推动“美丽中国我是行动者”等公众参与活动。制订鼓励企业参与生物多样性保护的政策机制，推动武汉本土企业创新构建“阿里巴巴”模式，参与生物多样性保护。推进信息公开，建立涉及野生动植物利用、水资源、森林资源开发等工程项目的信息披露制度，将有关信息纳入企业诚信系统，强化公众监督。</w:t>
      </w:r>
    </w:p>
    <w:p w14:paraId="70400AF1">
      <w:pPr>
        <w:ind w:firstLine="640"/>
        <w:jc w:val="both"/>
        <w:rPr>
          <w:rFonts w:hint="default" w:ascii="Times New Roman" w:hAnsi="Times New Roman" w:cs="Times New Roman"/>
          <w:color w:val="auto"/>
        </w:rPr>
      </w:pPr>
      <w:r>
        <w:rPr>
          <w:rFonts w:hint="default" w:ascii="Times New Roman" w:hAnsi="Times New Roman" w:cs="Times New Roman"/>
          <w:color w:val="auto"/>
        </w:rPr>
        <w:br w:type="page"/>
      </w:r>
    </w:p>
    <w:p w14:paraId="7AFDC7DF">
      <w:pPr>
        <w:pStyle w:val="5"/>
        <w:spacing w:before="312" w:after="312"/>
        <w:rPr>
          <w:rFonts w:hint="default" w:ascii="Times New Roman" w:hAnsi="Times New Roman" w:cs="Times New Roman"/>
          <w:b w:val="0"/>
          <w:bCs w:val="0"/>
          <w:color w:val="auto"/>
        </w:rPr>
      </w:pPr>
      <w:bookmarkStart w:id="316" w:name="_Toc21927"/>
      <w:bookmarkStart w:id="317" w:name="_Toc18130"/>
      <w:bookmarkStart w:id="318" w:name="_Toc194476150"/>
      <w:bookmarkStart w:id="319" w:name="_Toc1943"/>
      <w:bookmarkStart w:id="320" w:name="_Toc147668131"/>
      <w:bookmarkStart w:id="321" w:name="_Toc11534"/>
      <w:bookmarkStart w:id="322" w:name="_Toc23390"/>
      <w:r>
        <w:rPr>
          <w:rFonts w:hint="default" w:ascii="Times New Roman" w:hAnsi="Times New Roman" w:cs="Times New Roman"/>
          <w:b w:val="0"/>
          <w:bCs w:val="0"/>
          <w:color w:val="auto"/>
        </w:rPr>
        <w:t xml:space="preserve">第六章  </w:t>
      </w:r>
      <w:bookmarkEnd w:id="316"/>
      <w:bookmarkEnd w:id="317"/>
      <w:r>
        <w:rPr>
          <w:rFonts w:hint="default" w:ascii="Times New Roman" w:hAnsi="Times New Roman" w:cs="Times New Roman"/>
          <w:b w:val="0"/>
          <w:bCs w:val="0"/>
          <w:color w:val="auto"/>
        </w:rPr>
        <w:t>保障措施</w:t>
      </w:r>
      <w:bookmarkEnd w:id="318"/>
    </w:p>
    <w:p w14:paraId="3AD0968D">
      <w:pPr>
        <w:pStyle w:val="6"/>
        <w:spacing w:line="520" w:lineRule="exact"/>
        <w:ind w:firstLine="640"/>
        <w:jc w:val="both"/>
        <w:rPr>
          <w:rFonts w:hint="default" w:ascii="Times New Roman" w:hAnsi="Times New Roman" w:cs="Times New Roman"/>
          <w:b w:val="0"/>
          <w:bCs w:val="0"/>
          <w:color w:val="auto"/>
        </w:rPr>
      </w:pPr>
      <w:bookmarkStart w:id="323" w:name="_Toc194476151"/>
      <w:bookmarkStart w:id="324" w:name="_Toc190189740"/>
      <w:bookmarkStart w:id="325" w:name="_Toc285"/>
      <w:bookmarkStart w:id="326" w:name="_Toc24783"/>
      <w:r>
        <w:rPr>
          <w:rFonts w:hint="default" w:ascii="Times New Roman" w:hAnsi="Times New Roman" w:cs="Times New Roman"/>
          <w:b w:val="0"/>
          <w:bCs w:val="0"/>
          <w:color w:val="auto"/>
        </w:rPr>
        <w:t>（一）制度保障</w:t>
      </w:r>
      <w:bookmarkEnd w:id="323"/>
      <w:bookmarkEnd w:id="324"/>
    </w:p>
    <w:p w14:paraId="585F7608">
      <w:pPr>
        <w:spacing w:line="520" w:lineRule="exact"/>
        <w:ind w:firstLine="640"/>
        <w:jc w:val="both"/>
        <w:rPr>
          <w:rFonts w:hint="default" w:ascii="Times New Roman" w:hAnsi="Times New Roman" w:cs="Times New Roman"/>
          <w:color w:val="auto"/>
        </w:rPr>
      </w:pPr>
      <w:r>
        <w:rPr>
          <w:rFonts w:hint="default" w:ascii="Times New Roman" w:hAnsi="Times New Roman" w:cs="Times New Roman"/>
          <w:color w:val="auto"/>
        </w:rPr>
        <w:t>各级政府和相关部门建立健全地方生物多样性保护法规政策体系，鼓励进行有利于生物多样性保护的政策制度创新，为生物多样性保护与可持续利用提供法规政策保障。推动部门协同、上下联动的联合执法机制，强化执法队伍能力建设，建立健全案件查处、移交移送制度，严厉打击破坏生物多样性的违法违规行为。综合运用法律、经济和必要的行政手段，推动各项法规政策的落实。</w:t>
      </w:r>
    </w:p>
    <w:p w14:paraId="3598F9D1">
      <w:pPr>
        <w:pStyle w:val="6"/>
        <w:spacing w:line="520" w:lineRule="exact"/>
        <w:ind w:firstLine="640"/>
        <w:jc w:val="both"/>
        <w:rPr>
          <w:rFonts w:hint="default" w:ascii="Times New Roman" w:hAnsi="Times New Roman" w:cs="Times New Roman"/>
          <w:b w:val="0"/>
          <w:bCs w:val="0"/>
          <w:color w:val="auto"/>
        </w:rPr>
      </w:pPr>
      <w:bookmarkStart w:id="327" w:name="_Toc194476152"/>
      <w:bookmarkStart w:id="328" w:name="_Toc20437"/>
      <w:bookmarkStart w:id="329" w:name="_Toc11842"/>
      <w:bookmarkStart w:id="330" w:name="_Toc190189742"/>
      <w:bookmarkStart w:id="331" w:name="_Toc147668133"/>
      <w:bookmarkStart w:id="332" w:name="_Toc31663"/>
      <w:bookmarkStart w:id="333" w:name="_Toc4128"/>
      <w:bookmarkStart w:id="334" w:name="_Toc6687"/>
      <w:r>
        <w:rPr>
          <w:rFonts w:hint="default" w:ascii="Times New Roman" w:hAnsi="Times New Roman" w:cs="Times New Roman"/>
          <w:b w:val="0"/>
          <w:bCs w:val="0"/>
          <w:color w:val="auto"/>
        </w:rPr>
        <w:t>（二）组织保障</w:t>
      </w:r>
      <w:bookmarkEnd w:id="327"/>
      <w:bookmarkEnd w:id="328"/>
      <w:bookmarkEnd w:id="329"/>
      <w:bookmarkEnd w:id="330"/>
      <w:bookmarkEnd w:id="331"/>
      <w:bookmarkEnd w:id="332"/>
      <w:bookmarkEnd w:id="333"/>
      <w:bookmarkEnd w:id="334"/>
    </w:p>
    <w:p w14:paraId="5626FEF4">
      <w:pPr>
        <w:spacing w:line="520" w:lineRule="exact"/>
        <w:ind w:firstLine="640"/>
        <w:jc w:val="both"/>
        <w:rPr>
          <w:rFonts w:hint="default" w:ascii="Times New Roman" w:hAnsi="Times New Roman" w:cs="Times New Roman"/>
          <w:color w:val="auto"/>
        </w:rPr>
      </w:pPr>
      <w:r>
        <w:rPr>
          <w:rFonts w:hint="default" w:ascii="Times New Roman" w:hAnsi="Times New Roman" w:cs="Times New Roman"/>
          <w:color w:val="auto"/>
        </w:rPr>
        <w:t>强化组织领导，落实责任分工，分解保护任务，将生物多样性保护纳入现有美丽武汉建设工作内容。推动建立由生态环境、发展改革、财政、自然资源、农业农村、园林林业、水务等多部门参与的生物多样性保护会商机制，明确分工、加强联动，强化政府及部门之间的信息交流和行动协调。指导相关协会、企业、志愿者组织等开展生物多样性保护全民行动，持续推进生物多样性保护主流化。</w:t>
      </w:r>
    </w:p>
    <w:p w14:paraId="33328D4E">
      <w:pPr>
        <w:pStyle w:val="6"/>
        <w:spacing w:line="520" w:lineRule="exact"/>
        <w:ind w:firstLine="640"/>
        <w:jc w:val="both"/>
        <w:rPr>
          <w:rFonts w:hint="default" w:ascii="Times New Roman" w:hAnsi="Times New Roman" w:cs="Times New Roman"/>
          <w:b w:val="0"/>
          <w:bCs w:val="0"/>
          <w:color w:val="auto"/>
        </w:rPr>
      </w:pPr>
      <w:bookmarkStart w:id="335" w:name="_Toc26761"/>
      <w:bookmarkStart w:id="336" w:name="_Toc13366"/>
      <w:bookmarkStart w:id="337" w:name="_Toc194476153"/>
      <w:bookmarkStart w:id="338" w:name="_Toc190189743"/>
      <w:bookmarkStart w:id="339" w:name="_Toc13310"/>
      <w:bookmarkStart w:id="340" w:name="_Toc22683"/>
      <w:bookmarkStart w:id="341" w:name="_Toc147668134"/>
      <w:bookmarkStart w:id="342" w:name="_Toc5214"/>
      <w:r>
        <w:rPr>
          <w:rFonts w:hint="default" w:ascii="Times New Roman" w:hAnsi="Times New Roman" w:cs="Times New Roman"/>
          <w:b w:val="0"/>
          <w:bCs w:val="0"/>
          <w:color w:val="auto"/>
        </w:rPr>
        <w:t>（三）资金保障</w:t>
      </w:r>
      <w:bookmarkEnd w:id="335"/>
      <w:bookmarkEnd w:id="336"/>
      <w:bookmarkEnd w:id="337"/>
      <w:bookmarkEnd w:id="338"/>
      <w:bookmarkEnd w:id="339"/>
      <w:bookmarkEnd w:id="340"/>
      <w:bookmarkEnd w:id="341"/>
      <w:bookmarkEnd w:id="342"/>
    </w:p>
    <w:p w14:paraId="1FAA4EAD">
      <w:pPr>
        <w:spacing w:line="520" w:lineRule="exact"/>
        <w:ind w:firstLine="640"/>
        <w:jc w:val="both"/>
        <w:rPr>
          <w:rFonts w:hint="default" w:ascii="Times New Roman" w:hAnsi="Times New Roman" w:cs="Times New Roman"/>
          <w:color w:val="auto"/>
        </w:rPr>
      </w:pPr>
      <w:r>
        <w:rPr>
          <w:rFonts w:hint="default" w:ascii="Times New Roman" w:hAnsi="Times New Roman" w:cs="Times New Roman"/>
          <w:color w:val="auto"/>
        </w:rPr>
        <w:t>将生物多样性保护纳入武汉市各级人民政府国民经济和社会发展规划，保护经费纳入同级财政预算，为生物多样性保护与可持续利用提供资金保障。多渠道筹集和争取国家、省财政转移支付资金、生态保护补偿资金等各类资金，建立稳定的投入机制。金融机构按照有关规定，优先做好涉及生物多样性保护的企业金融服务。</w:t>
      </w:r>
    </w:p>
    <w:bookmarkEnd w:id="319"/>
    <w:bookmarkEnd w:id="320"/>
    <w:bookmarkEnd w:id="321"/>
    <w:bookmarkEnd w:id="322"/>
    <w:bookmarkEnd w:id="325"/>
    <w:bookmarkEnd w:id="326"/>
    <w:p w14:paraId="536EEAFF">
      <w:pPr>
        <w:ind w:firstLine="640"/>
        <w:jc w:val="both"/>
        <w:rPr>
          <w:rFonts w:hint="default" w:ascii="Times New Roman" w:hAnsi="Times New Roman" w:cs="Times New Roman"/>
          <w:color w:val="auto"/>
        </w:rPr>
        <w:sectPr>
          <w:pgSz w:w="11906" w:h="16838"/>
          <w:pgMar w:top="1440" w:right="1797" w:bottom="1440" w:left="1797" w:header="851" w:footer="992" w:gutter="0"/>
          <w:pgNumType w:fmt="numberInDash"/>
          <w:cols w:space="425" w:num="1"/>
          <w:docGrid w:type="lines" w:linePitch="312" w:charSpace="0"/>
        </w:sectPr>
      </w:pPr>
      <w:r>
        <w:rPr>
          <w:rFonts w:hint="default" w:ascii="Times New Roman" w:hAnsi="Times New Roman" w:cs="Times New Roman"/>
          <w:color w:val="auto"/>
        </w:rPr>
        <w:br w:type="page"/>
      </w:r>
      <w:bookmarkStart w:id="343" w:name="_Toc5535"/>
      <w:bookmarkStart w:id="344" w:name="_Toc17926"/>
      <w:bookmarkStart w:id="345" w:name="_Toc21037"/>
    </w:p>
    <w:p w14:paraId="5102DCC2">
      <w:pPr>
        <w:pStyle w:val="43"/>
        <w:spacing w:after="218"/>
        <w:rPr>
          <w:rFonts w:hint="default" w:ascii="Times New Roman" w:hAnsi="Times New Roman" w:cs="Times New Roman"/>
          <w:b w:val="0"/>
          <w:bCs w:val="0"/>
          <w:color w:val="auto"/>
          <w:sz w:val="32"/>
        </w:rPr>
      </w:pPr>
      <w:bookmarkStart w:id="346" w:name="_Toc31689"/>
      <w:bookmarkStart w:id="347" w:name="_Toc8183"/>
      <w:bookmarkStart w:id="348" w:name="_Toc194476154"/>
      <w:bookmarkStart w:id="349" w:name="OLE_LINK101"/>
      <w:r>
        <w:rPr>
          <w:rFonts w:hint="default" w:ascii="Times New Roman" w:hAnsi="Times New Roman" w:cs="Times New Roman"/>
          <w:b w:val="0"/>
          <w:bCs w:val="0"/>
          <w:color w:val="auto"/>
          <w:sz w:val="32"/>
        </w:rPr>
        <w:t>附表</w:t>
      </w:r>
      <w:bookmarkEnd w:id="343"/>
      <w:bookmarkEnd w:id="344"/>
      <w:bookmarkEnd w:id="345"/>
      <w:bookmarkEnd w:id="346"/>
      <w:bookmarkEnd w:id="347"/>
      <w:r>
        <w:rPr>
          <w:rFonts w:hint="default" w:ascii="Times New Roman" w:hAnsi="Times New Roman" w:cs="Times New Roman"/>
          <w:b w:val="0"/>
          <w:bCs w:val="0"/>
          <w:color w:val="auto"/>
          <w:sz w:val="32"/>
        </w:rPr>
        <w:t>1  生物多样性保护优先项目汇总表</w:t>
      </w:r>
      <w:bookmarkEnd w:id="348"/>
    </w:p>
    <w:bookmarkEnd w:id="349"/>
    <w:tbl>
      <w:tblPr>
        <w:tblStyle w:val="28"/>
        <w:tblW w:w="8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85" w:type="dxa"/>
          <w:bottom w:w="85" w:type="dxa"/>
          <w:right w:w="85" w:type="dxa"/>
        </w:tblCellMar>
      </w:tblPr>
      <w:tblGrid>
        <w:gridCol w:w="718"/>
        <w:gridCol w:w="1161"/>
        <w:gridCol w:w="4054"/>
        <w:gridCol w:w="1162"/>
        <w:gridCol w:w="1590"/>
      </w:tblGrid>
      <w:tr w14:paraId="6804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609" w:hRule="atLeast"/>
          <w:tblHeader/>
          <w:jc w:val="center"/>
        </w:trPr>
        <w:tc>
          <w:tcPr>
            <w:tcW w:w="718" w:type="dxa"/>
            <w:vAlign w:val="center"/>
          </w:tcPr>
          <w:p w14:paraId="3982E356">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序号</w:t>
            </w:r>
          </w:p>
        </w:tc>
        <w:tc>
          <w:tcPr>
            <w:tcW w:w="1161" w:type="dxa"/>
            <w:vAlign w:val="center"/>
          </w:tcPr>
          <w:p w14:paraId="5F199FB7">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项目名称</w:t>
            </w:r>
          </w:p>
        </w:tc>
        <w:tc>
          <w:tcPr>
            <w:tcW w:w="4054" w:type="dxa"/>
            <w:vAlign w:val="center"/>
          </w:tcPr>
          <w:p w14:paraId="3785CFCE">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项目主要内容</w:t>
            </w:r>
          </w:p>
        </w:tc>
        <w:tc>
          <w:tcPr>
            <w:tcW w:w="1162" w:type="dxa"/>
            <w:vAlign w:val="center"/>
          </w:tcPr>
          <w:p w14:paraId="65EA01F8">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完成年限</w:t>
            </w:r>
          </w:p>
        </w:tc>
        <w:tc>
          <w:tcPr>
            <w:tcW w:w="1590" w:type="dxa"/>
            <w:vAlign w:val="center"/>
          </w:tcPr>
          <w:p w14:paraId="76D0516C">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责任部门</w:t>
            </w:r>
          </w:p>
        </w:tc>
      </w:tr>
      <w:tr w14:paraId="79683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567" w:hRule="atLeast"/>
          <w:jc w:val="center"/>
        </w:trPr>
        <w:tc>
          <w:tcPr>
            <w:tcW w:w="8685" w:type="dxa"/>
            <w:gridSpan w:val="5"/>
            <w:shd w:val="clear" w:color="auto" w:fill="D8D8D8" w:themeFill="background1" w:themeFillShade="D9"/>
            <w:vAlign w:val="center"/>
          </w:tcPr>
          <w:p w14:paraId="2A04E66B">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（一）生物多样性保护八大优先项目</w:t>
            </w:r>
          </w:p>
        </w:tc>
      </w:tr>
      <w:tr w14:paraId="737B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1249" w:hRule="atLeast"/>
          <w:jc w:val="center"/>
        </w:trPr>
        <w:tc>
          <w:tcPr>
            <w:tcW w:w="718" w:type="dxa"/>
            <w:vAlign w:val="center"/>
          </w:tcPr>
          <w:p w14:paraId="1787805C">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p>
        </w:tc>
        <w:tc>
          <w:tcPr>
            <w:tcW w:w="1161" w:type="dxa"/>
            <w:vAlign w:val="center"/>
          </w:tcPr>
          <w:p w14:paraId="47FB7223">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武汉市生物多样性本底调查</w:t>
            </w:r>
          </w:p>
        </w:tc>
        <w:tc>
          <w:tcPr>
            <w:tcW w:w="4054" w:type="dxa"/>
            <w:vAlign w:val="center"/>
          </w:tcPr>
          <w:p w14:paraId="4C515201">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开展武汉市各区生态系统多样性、物种多样性、遗传资源及相关传统知识调查</w:t>
            </w:r>
          </w:p>
        </w:tc>
        <w:tc>
          <w:tcPr>
            <w:tcW w:w="1162" w:type="dxa"/>
            <w:vAlign w:val="center"/>
          </w:tcPr>
          <w:p w14:paraId="0D205DFD">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1FD260E9">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市生态环境局、各区（含开发区、长江新区、风景区管委会）</w:t>
            </w:r>
          </w:p>
        </w:tc>
      </w:tr>
      <w:tr w14:paraId="2CAD9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1249" w:hRule="atLeast"/>
          <w:jc w:val="center"/>
        </w:trPr>
        <w:tc>
          <w:tcPr>
            <w:tcW w:w="718" w:type="dxa"/>
            <w:vAlign w:val="center"/>
          </w:tcPr>
          <w:p w14:paraId="58784BE4">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p>
        </w:tc>
        <w:tc>
          <w:tcPr>
            <w:tcW w:w="1161" w:type="dxa"/>
            <w:vAlign w:val="center"/>
          </w:tcPr>
          <w:p w14:paraId="6DE3F3B5">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武汉市生物多样性监测体系构建项目</w:t>
            </w:r>
          </w:p>
        </w:tc>
        <w:tc>
          <w:tcPr>
            <w:tcW w:w="4054" w:type="dxa"/>
            <w:vAlign w:val="center"/>
          </w:tcPr>
          <w:p w14:paraId="301E4BB5">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研究制定武汉市生物多样性监测体系构建方案。建设生物多样性</w:t>
            </w:r>
            <w:r>
              <w:rPr>
                <w:rFonts w:hint="default" w:ascii="Times New Roman" w:hAnsi="Times New Roman" w:eastAsia="宋体" w:cs="Times New Roman"/>
                <w:color w:val="auto"/>
                <w:sz w:val="24"/>
                <w:szCs w:val="24"/>
                <w:lang w:eastAsia="zh-CN"/>
              </w:rPr>
              <w:t>监测</w:t>
            </w:r>
            <w:r>
              <w:rPr>
                <w:rFonts w:hint="default" w:ascii="Times New Roman" w:hAnsi="Times New Roman" w:eastAsia="宋体" w:cs="Times New Roman"/>
                <w:color w:val="auto"/>
                <w:sz w:val="24"/>
                <w:szCs w:val="24"/>
              </w:rPr>
              <w:t>站点，布设</w:t>
            </w:r>
            <w:r>
              <w:rPr>
                <w:rFonts w:hint="default" w:ascii="Times New Roman" w:hAnsi="Times New Roman" w:eastAsia="宋体" w:cs="Times New Roman"/>
                <w:color w:val="auto"/>
                <w:sz w:val="24"/>
                <w:szCs w:val="24"/>
                <w:lang w:eastAsia="zh-CN"/>
              </w:rPr>
              <w:t>监测</w:t>
            </w:r>
            <w:r>
              <w:rPr>
                <w:rFonts w:hint="default" w:ascii="Times New Roman" w:hAnsi="Times New Roman" w:eastAsia="宋体" w:cs="Times New Roman"/>
                <w:color w:val="auto"/>
                <w:sz w:val="24"/>
                <w:szCs w:val="24"/>
              </w:rPr>
              <w:t>样线、样点、样方，设置红外相机、鸣声记录仪等实时监测设备</w:t>
            </w:r>
          </w:p>
        </w:tc>
        <w:tc>
          <w:tcPr>
            <w:tcW w:w="1162" w:type="dxa"/>
            <w:vAlign w:val="center"/>
          </w:tcPr>
          <w:p w14:paraId="54B4412E">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505154B8">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市生态环境局、市园林和林业局、市农业农村局，各区</w:t>
            </w:r>
          </w:p>
        </w:tc>
      </w:tr>
      <w:tr w14:paraId="6DA2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1249" w:hRule="atLeast"/>
          <w:jc w:val="center"/>
        </w:trPr>
        <w:tc>
          <w:tcPr>
            <w:tcW w:w="718" w:type="dxa"/>
            <w:vAlign w:val="center"/>
          </w:tcPr>
          <w:p w14:paraId="469869DF">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w:t>
            </w:r>
          </w:p>
        </w:tc>
        <w:tc>
          <w:tcPr>
            <w:tcW w:w="1161" w:type="dxa"/>
            <w:vAlign w:val="center"/>
          </w:tcPr>
          <w:p w14:paraId="36DAEEE2">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武汉市生物多样性数据库和信息平台建设</w:t>
            </w:r>
          </w:p>
        </w:tc>
        <w:tc>
          <w:tcPr>
            <w:tcW w:w="4054" w:type="dxa"/>
            <w:vAlign w:val="center"/>
          </w:tcPr>
          <w:p w14:paraId="36C8C2AF">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建设生物多样性数据库和信息平台，打造智慧湿地、智慧公园，加强各部门数据的集成整合与共享，打造数据共享平台，形成生物多样性监管</w:t>
            </w:r>
            <w:r>
              <w:rPr>
                <w:rFonts w:hint="default" w:ascii="Times New Roman" w:hAnsi="Times New Roman" w:cs="Times New Roman" w:eastAsiaTheme="minorEastAsia"/>
                <w:color w:val="auto"/>
                <w:sz w:val="24"/>
                <w:szCs w:val="24"/>
              </w:rPr>
              <w:t>“一张图”</w:t>
            </w:r>
          </w:p>
        </w:tc>
        <w:tc>
          <w:tcPr>
            <w:tcW w:w="1162" w:type="dxa"/>
            <w:vAlign w:val="center"/>
          </w:tcPr>
          <w:p w14:paraId="59EAC768">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5D258E79">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市生态环境局、市自然资源和城乡建设局、市园林和林业局、市农业农村局</w:t>
            </w:r>
          </w:p>
        </w:tc>
      </w:tr>
      <w:tr w14:paraId="0960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2041" w:hRule="atLeast"/>
          <w:jc w:val="center"/>
        </w:trPr>
        <w:tc>
          <w:tcPr>
            <w:tcW w:w="718" w:type="dxa"/>
            <w:vAlign w:val="center"/>
          </w:tcPr>
          <w:p w14:paraId="295F09FA">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w:t>
            </w:r>
          </w:p>
        </w:tc>
        <w:tc>
          <w:tcPr>
            <w:tcW w:w="1161" w:type="dxa"/>
            <w:vAlign w:val="center"/>
          </w:tcPr>
          <w:p w14:paraId="503932D1">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生态空间保护格局优化项目</w:t>
            </w:r>
          </w:p>
        </w:tc>
        <w:tc>
          <w:tcPr>
            <w:tcW w:w="4054" w:type="dxa"/>
            <w:vAlign w:val="center"/>
          </w:tcPr>
          <w:p w14:paraId="0D78A973">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实施蓝绿交融工程，建设湖泊公园；实施绿廊体系工程，绿道网络工程，建设东西湖—黄陂滨河绿道、沌口—蔡甸临湖绿道、青菱湖山地绿道、江夏山景绿道、东湖芳林绿道和新洲湿地公园绿道6条</w:t>
            </w:r>
            <w:r>
              <w:rPr>
                <w:rFonts w:hint="default" w:ascii="Times New Roman" w:hAnsi="Times New Roman" w:cs="Times New Roman" w:eastAsiaTheme="minorEastAsia"/>
                <w:color w:val="auto"/>
                <w:sz w:val="24"/>
                <w:szCs w:val="24"/>
              </w:rPr>
              <w:t>“引城入郊”</w:t>
            </w:r>
            <w:r>
              <w:rPr>
                <w:rFonts w:hint="default" w:ascii="Times New Roman" w:hAnsi="Times New Roman" w:eastAsia="宋体" w:cs="Times New Roman"/>
                <w:color w:val="auto"/>
                <w:sz w:val="24"/>
                <w:szCs w:val="24"/>
              </w:rPr>
              <w:t>型绿道等</w:t>
            </w:r>
          </w:p>
        </w:tc>
        <w:tc>
          <w:tcPr>
            <w:tcW w:w="1162" w:type="dxa"/>
            <w:vAlign w:val="center"/>
          </w:tcPr>
          <w:p w14:paraId="1B7C614D">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5C964C2B">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市园林和林业局、市水务局，各相关区</w:t>
            </w:r>
          </w:p>
        </w:tc>
      </w:tr>
      <w:tr w14:paraId="66E0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1587" w:hRule="atLeast"/>
          <w:jc w:val="center"/>
        </w:trPr>
        <w:tc>
          <w:tcPr>
            <w:tcW w:w="718" w:type="dxa"/>
            <w:vAlign w:val="center"/>
          </w:tcPr>
          <w:p w14:paraId="7D6AD1E6">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w:t>
            </w:r>
          </w:p>
        </w:tc>
        <w:tc>
          <w:tcPr>
            <w:tcW w:w="1161" w:type="dxa"/>
            <w:vAlign w:val="center"/>
          </w:tcPr>
          <w:p w14:paraId="6B3FAAB9">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重要林木种质资源库建设项目</w:t>
            </w:r>
          </w:p>
        </w:tc>
        <w:tc>
          <w:tcPr>
            <w:tcW w:w="4054" w:type="dxa"/>
            <w:vAlign w:val="center"/>
          </w:tcPr>
          <w:p w14:paraId="22ECFEE1">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开展乡土树种、珍贵树种、抗逆性树种、灌木树种、名优经济树种和特有植物的收集和保存</w:t>
            </w:r>
          </w:p>
        </w:tc>
        <w:tc>
          <w:tcPr>
            <w:tcW w:w="1162" w:type="dxa"/>
            <w:vAlign w:val="center"/>
          </w:tcPr>
          <w:p w14:paraId="38336DB8">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4FEFC934">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市园林和林业局，各区</w:t>
            </w:r>
          </w:p>
        </w:tc>
      </w:tr>
      <w:tr w14:paraId="13D7F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1247" w:hRule="atLeast"/>
          <w:jc w:val="center"/>
        </w:trPr>
        <w:tc>
          <w:tcPr>
            <w:tcW w:w="718" w:type="dxa"/>
            <w:vAlign w:val="center"/>
          </w:tcPr>
          <w:p w14:paraId="21BE446F">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w:t>
            </w:r>
          </w:p>
        </w:tc>
        <w:tc>
          <w:tcPr>
            <w:tcW w:w="1161" w:type="dxa"/>
            <w:vAlign w:val="center"/>
          </w:tcPr>
          <w:p w14:paraId="10490492">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生物遗传资源和传统知识保护与惠益分享示范项目</w:t>
            </w:r>
          </w:p>
        </w:tc>
        <w:tc>
          <w:tcPr>
            <w:tcW w:w="4054" w:type="dxa"/>
            <w:vAlign w:val="center"/>
          </w:tcPr>
          <w:p w14:paraId="3E0283E5">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针对武汉市重要的生物遗传资源或知名的传统知识产品，调查其开发利用现状，总结典型案例，研究提出获取与惠益分享的机制与模式2-4个</w:t>
            </w:r>
          </w:p>
        </w:tc>
        <w:tc>
          <w:tcPr>
            <w:tcW w:w="1162" w:type="dxa"/>
            <w:vAlign w:val="center"/>
          </w:tcPr>
          <w:p w14:paraId="3F42BC6F">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4E102AE5">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市生态环境局、市农业农村局、市园林和林业局，各区</w:t>
            </w:r>
          </w:p>
        </w:tc>
      </w:tr>
      <w:tr w14:paraId="1B45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801" w:hRule="atLeast"/>
          <w:jc w:val="center"/>
        </w:trPr>
        <w:tc>
          <w:tcPr>
            <w:tcW w:w="718" w:type="dxa"/>
            <w:vAlign w:val="center"/>
          </w:tcPr>
          <w:p w14:paraId="684D46D4">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w:t>
            </w:r>
          </w:p>
        </w:tc>
        <w:tc>
          <w:tcPr>
            <w:tcW w:w="1161" w:type="dxa"/>
            <w:vAlign w:val="center"/>
          </w:tcPr>
          <w:p w14:paraId="301DBF54">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生态产品价值核算与实现机制研究项目</w:t>
            </w:r>
          </w:p>
        </w:tc>
        <w:tc>
          <w:tcPr>
            <w:tcW w:w="4054" w:type="dxa"/>
            <w:vAlign w:val="center"/>
          </w:tcPr>
          <w:p w14:paraId="4D2B4664">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开展新洲区生态系统生产总值（GEP）核算试点，探索开展森林湿地等生态系统生产总值核算研究；推动生态产品价值核算结果在生态环境保护补偿、生态环境损害赔偿、生态资源权益交易等方面的应用，探索具有武汉特色的生态系统生产总值核算指标体系</w:t>
            </w:r>
          </w:p>
        </w:tc>
        <w:tc>
          <w:tcPr>
            <w:tcW w:w="1162" w:type="dxa"/>
            <w:vAlign w:val="center"/>
          </w:tcPr>
          <w:p w14:paraId="3CEFC19C">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04E64A6A">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市发展和改革委员会、市生态环境局、市财政局、市自然资源和城乡建设局、市园林和林业局，各相关区</w:t>
            </w:r>
          </w:p>
        </w:tc>
      </w:tr>
      <w:tr w14:paraId="6A76D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801" w:hRule="atLeast"/>
          <w:jc w:val="center"/>
        </w:trPr>
        <w:tc>
          <w:tcPr>
            <w:tcW w:w="718" w:type="dxa"/>
            <w:vAlign w:val="center"/>
          </w:tcPr>
          <w:p w14:paraId="7098217D">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8</w:t>
            </w:r>
          </w:p>
        </w:tc>
        <w:tc>
          <w:tcPr>
            <w:tcW w:w="1161" w:type="dxa"/>
            <w:vAlign w:val="center"/>
          </w:tcPr>
          <w:p w14:paraId="79D72980">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生物多样性综合评价与执法</w:t>
            </w:r>
          </w:p>
        </w:tc>
        <w:tc>
          <w:tcPr>
            <w:tcW w:w="4054" w:type="dxa"/>
            <w:vAlign w:val="center"/>
          </w:tcPr>
          <w:p w14:paraId="4D427B36">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综合评估生物多样性保护成效，掌握生物多样性动态变化趋势，加强野生动植物等生物多样性保护执法监督</w:t>
            </w:r>
          </w:p>
        </w:tc>
        <w:tc>
          <w:tcPr>
            <w:tcW w:w="1162" w:type="dxa"/>
            <w:vAlign w:val="center"/>
          </w:tcPr>
          <w:p w14:paraId="5D300A05">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01C1E81B">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市生态环境局、市园林和林业局、市农业农村局、市公安局，各区</w:t>
            </w:r>
          </w:p>
        </w:tc>
      </w:tr>
      <w:tr w14:paraId="0029A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567" w:hRule="atLeast"/>
          <w:jc w:val="center"/>
        </w:trPr>
        <w:tc>
          <w:tcPr>
            <w:tcW w:w="8685" w:type="dxa"/>
            <w:gridSpan w:val="5"/>
            <w:shd w:val="clear" w:color="auto" w:fill="D8D8D8" w:themeFill="background1" w:themeFillShade="D9"/>
            <w:vAlign w:val="center"/>
          </w:tcPr>
          <w:p w14:paraId="7EF3330A">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（二）生物多样性恢复八大优先项目</w:t>
            </w:r>
          </w:p>
        </w:tc>
      </w:tr>
      <w:tr w14:paraId="67540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624" w:hRule="atLeast"/>
          <w:jc w:val="center"/>
        </w:trPr>
        <w:tc>
          <w:tcPr>
            <w:tcW w:w="718" w:type="dxa"/>
            <w:vAlign w:val="center"/>
          </w:tcPr>
          <w:p w14:paraId="3062C3C1">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9</w:t>
            </w:r>
          </w:p>
        </w:tc>
        <w:tc>
          <w:tcPr>
            <w:tcW w:w="1161" w:type="dxa"/>
            <w:vAlign w:val="center"/>
          </w:tcPr>
          <w:p w14:paraId="034D8296">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造林绿化项目</w:t>
            </w:r>
          </w:p>
        </w:tc>
        <w:tc>
          <w:tcPr>
            <w:tcW w:w="4054" w:type="dxa"/>
            <w:vAlign w:val="center"/>
          </w:tcPr>
          <w:p w14:paraId="7A27C1C5">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科学造林绿化4万亩</w:t>
            </w:r>
          </w:p>
        </w:tc>
        <w:tc>
          <w:tcPr>
            <w:tcW w:w="1162" w:type="dxa"/>
            <w:vAlign w:val="center"/>
          </w:tcPr>
          <w:p w14:paraId="2E12B83D">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2027年</w:t>
            </w:r>
          </w:p>
        </w:tc>
        <w:tc>
          <w:tcPr>
            <w:tcW w:w="1590" w:type="dxa"/>
            <w:vAlign w:val="center"/>
          </w:tcPr>
          <w:p w14:paraId="04127D67">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市园林和林业局，各区</w:t>
            </w:r>
          </w:p>
        </w:tc>
      </w:tr>
      <w:tr w14:paraId="1986A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834" w:hRule="atLeast"/>
          <w:jc w:val="center"/>
        </w:trPr>
        <w:tc>
          <w:tcPr>
            <w:tcW w:w="718" w:type="dxa"/>
            <w:vAlign w:val="center"/>
          </w:tcPr>
          <w:p w14:paraId="155647A1">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10</w:t>
            </w:r>
          </w:p>
        </w:tc>
        <w:tc>
          <w:tcPr>
            <w:tcW w:w="1161" w:type="dxa"/>
            <w:vAlign w:val="center"/>
          </w:tcPr>
          <w:p w14:paraId="2AA488CD">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森林质量提升项目</w:t>
            </w:r>
          </w:p>
        </w:tc>
        <w:tc>
          <w:tcPr>
            <w:tcW w:w="4054" w:type="dxa"/>
            <w:vAlign w:val="center"/>
          </w:tcPr>
          <w:p w14:paraId="163CE97C">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抚育改造森林14万亩，促进纯林向针阔混交、常绿落叶混交的方向发展</w:t>
            </w:r>
          </w:p>
        </w:tc>
        <w:tc>
          <w:tcPr>
            <w:tcW w:w="1162" w:type="dxa"/>
            <w:vAlign w:val="center"/>
          </w:tcPr>
          <w:p w14:paraId="4C3EED15">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2027年</w:t>
            </w:r>
          </w:p>
        </w:tc>
        <w:tc>
          <w:tcPr>
            <w:tcW w:w="1590" w:type="dxa"/>
            <w:vAlign w:val="center"/>
          </w:tcPr>
          <w:p w14:paraId="4FC8D662">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市园林和林业局，各区</w:t>
            </w:r>
          </w:p>
        </w:tc>
      </w:tr>
      <w:tr w14:paraId="6948F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836" w:hRule="atLeast"/>
          <w:jc w:val="center"/>
        </w:trPr>
        <w:tc>
          <w:tcPr>
            <w:tcW w:w="718" w:type="dxa"/>
            <w:vAlign w:val="center"/>
          </w:tcPr>
          <w:p w14:paraId="1ADB7F7A">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11</w:t>
            </w:r>
          </w:p>
        </w:tc>
        <w:tc>
          <w:tcPr>
            <w:tcW w:w="1161" w:type="dxa"/>
            <w:vAlign w:val="center"/>
          </w:tcPr>
          <w:p w14:paraId="6C425F47">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矿山生态修复项目</w:t>
            </w:r>
          </w:p>
        </w:tc>
        <w:tc>
          <w:tcPr>
            <w:tcW w:w="4054" w:type="dxa"/>
            <w:vAlign w:val="center"/>
          </w:tcPr>
          <w:p w14:paraId="3EE8057B">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开展全域矿山治理，全面实施废弃矿山的生态复绿</w:t>
            </w:r>
          </w:p>
        </w:tc>
        <w:tc>
          <w:tcPr>
            <w:tcW w:w="1162" w:type="dxa"/>
            <w:vAlign w:val="center"/>
          </w:tcPr>
          <w:p w14:paraId="1EE63F76">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2027年</w:t>
            </w:r>
          </w:p>
        </w:tc>
        <w:tc>
          <w:tcPr>
            <w:tcW w:w="1590" w:type="dxa"/>
            <w:vAlign w:val="center"/>
          </w:tcPr>
          <w:p w14:paraId="38B2D318">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市自然资源和城乡建设局，各区</w:t>
            </w:r>
          </w:p>
        </w:tc>
      </w:tr>
      <w:tr w14:paraId="7541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1249" w:hRule="atLeast"/>
          <w:jc w:val="center"/>
        </w:trPr>
        <w:tc>
          <w:tcPr>
            <w:tcW w:w="718" w:type="dxa"/>
            <w:vAlign w:val="center"/>
          </w:tcPr>
          <w:p w14:paraId="687B8047">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12</w:t>
            </w:r>
          </w:p>
        </w:tc>
        <w:tc>
          <w:tcPr>
            <w:tcW w:w="1161" w:type="dxa"/>
            <w:vAlign w:val="center"/>
          </w:tcPr>
          <w:p w14:paraId="6201AEEF">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生态廊道建设项目</w:t>
            </w:r>
          </w:p>
        </w:tc>
        <w:tc>
          <w:tcPr>
            <w:tcW w:w="4054" w:type="dxa"/>
            <w:vAlign w:val="center"/>
          </w:tcPr>
          <w:p w14:paraId="56C2EE3F">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持续推进五级公园体系建设，构建河湖生态廊道，开展黄孝河河岸花廊、机场河河岸花廊等10条河岸花廊建设；研究实施大东湖生态水网青山引水项目(东湖)、府澴河水系连通工程、涨渡湖水系连通工程，加快推进野芷湖-南湖连通工程</w:t>
            </w:r>
          </w:p>
        </w:tc>
        <w:tc>
          <w:tcPr>
            <w:tcW w:w="1162" w:type="dxa"/>
            <w:vAlign w:val="center"/>
          </w:tcPr>
          <w:p w14:paraId="520E60C1">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2027年</w:t>
            </w:r>
          </w:p>
        </w:tc>
        <w:tc>
          <w:tcPr>
            <w:tcW w:w="1590" w:type="dxa"/>
            <w:vAlign w:val="center"/>
          </w:tcPr>
          <w:p w14:paraId="238F40C5">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市园林和林业局、市自然资源和城乡建设局、市水务局，各区</w:t>
            </w:r>
          </w:p>
        </w:tc>
      </w:tr>
      <w:tr w14:paraId="5043B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1249" w:hRule="atLeast"/>
          <w:jc w:val="center"/>
        </w:trPr>
        <w:tc>
          <w:tcPr>
            <w:tcW w:w="718" w:type="dxa"/>
            <w:vAlign w:val="center"/>
          </w:tcPr>
          <w:p w14:paraId="49B83200">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13</w:t>
            </w:r>
          </w:p>
        </w:tc>
        <w:tc>
          <w:tcPr>
            <w:tcW w:w="1161" w:type="dxa"/>
            <w:vAlign w:val="center"/>
          </w:tcPr>
          <w:p w14:paraId="3CA158D3">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湿地保护与修复项目</w:t>
            </w:r>
          </w:p>
        </w:tc>
        <w:tc>
          <w:tcPr>
            <w:tcW w:w="4054" w:type="dxa"/>
            <w:vAlign w:val="center"/>
          </w:tcPr>
          <w:p w14:paraId="797F2AB9">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开展国家湿地公园和省级湿地公园综合提升，实施道观河、孔子河湿地修复；推进全市50处小微湿地生态修复项目建设</w:t>
            </w:r>
          </w:p>
        </w:tc>
        <w:tc>
          <w:tcPr>
            <w:tcW w:w="1162" w:type="dxa"/>
            <w:vAlign w:val="center"/>
          </w:tcPr>
          <w:p w14:paraId="3A3240B5">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655438B5">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各区，市园林和林业局</w:t>
            </w:r>
          </w:p>
        </w:tc>
      </w:tr>
      <w:tr w14:paraId="246F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518" w:hRule="atLeast"/>
          <w:jc w:val="center"/>
        </w:trPr>
        <w:tc>
          <w:tcPr>
            <w:tcW w:w="718" w:type="dxa"/>
            <w:vAlign w:val="center"/>
          </w:tcPr>
          <w:p w14:paraId="62164B62">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14</w:t>
            </w:r>
          </w:p>
        </w:tc>
        <w:tc>
          <w:tcPr>
            <w:tcW w:w="1161" w:type="dxa"/>
            <w:vAlign w:val="center"/>
          </w:tcPr>
          <w:p w14:paraId="764D4827">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野生动物重要栖息地保护修复项目</w:t>
            </w:r>
          </w:p>
        </w:tc>
        <w:tc>
          <w:tcPr>
            <w:tcW w:w="4054" w:type="dxa"/>
            <w:vAlign w:val="center"/>
          </w:tcPr>
          <w:p w14:paraId="632B2085">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开展祁家湾青头潜鸭栖息地、府河柏泉段天鹅湖候鸟栖息地、天兴洲野生鸟类栖息地保护</w:t>
            </w:r>
          </w:p>
        </w:tc>
        <w:tc>
          <w:tcPr>
            <w:tcW w:w="1162" w:type="dxa"/>
            <w:vAlign w:val="center"/>
          </w:tcPr>
          <w:p w14:paraId="3DB0C321">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061DF129">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市园林和林业局，各相关区</w:t>
            </w:r>
          </w:p>
        </w:tc>
      </w:tr>
      <w:tr w14:paraId="385C9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510" w:hRule="atLeast"/>
          <w:jc w:val="center"/>
        </w:trPr>
        <w:tc>
          <w:tcPr>
            <w:tcW w:w="718" w:type="dxa"/>
            <w:vAlign w:val="center"/>
          </w:tcPr>
          <w:p w14:paraId="279A534D">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15</w:t>
            </w:r>
          </w:p>
        </w:tc>
        <w:tc>
          <w:tcPr>
            <w:tcW w:w="1161" w:type="dxa"/>
            <w:vAlign w:val="center"/>
          </w:tcPr>
          <w:p w14:paraId="3A6E2DD1">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外来入侵物种和有害生物调查与防控示范项目</w:t>
            </w:r>
          </w:p>
        </w:tc>
        <w:tc>
          <w:tcPr>
            <w:tcW w:w="4054" w:type="dxa"/>
            <w:vAlign w:val="center"/>
          </w:tcPr>
          <w:p w14:paraId="5A4772DE">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开展武汉全域外来入侵和有害生物本底调查；实施外来入侵物种清除行动，重点开展加拿大一枝黄花、福寿螺等的监控与防控</w:t>
            </w:r>
          </w:p>
        </w:tc>
        <w:tc>
          <w:tcPr>
            <w:tcW w:w="1162" w:type="dxa"/>
            <w:vAlign w:val="center"/>
          </w:tcPr>
          <w:p w14:paraId="3F69994B">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13FFE7EE">
            <w:pPr>
              <w:spacing w:line="360" w:lineRule="exact"/>
              <w:ind w:firstLine="0" w:firstLineChars="0"/>
              <w:jc w:val="both"/>
              <w:rPr>
                <w:rFonts w:hint="default" w:ascii="Times New Roman" w:hAnsi="Times New Roman" w:eastAsia="宋体" w:cs="Times New Roman"/>
                <w:color w:val="auto"/>
                <w:sz w:val="24"/>
                <w:szCs w:val="24"/>
              </w:rPr>
            </w:pPr>
            <w:bookmarkStart w:id="350" w:name="OLE_LINK71"/>
            <w:bookmarkStart w:id="351" w:name="OLE_LINK70"/>
            <w:r>
              <w:rPr>
                <w:rFonts w:hint="default" w:ascii="Times New Roman" w:hAnsi="Times New Roman" w:eastAsia="宋体" w:cs="Times New Roman"/>
                <w:color w:val="auto"/>
                <w:sz w:val="24"/>
                <w:szCs w:val="24"/>
              </w:rPr>
              <w:t>市农业农村局、</w:t>
            </w:r>
            <w:bookmarkEnd w:id="350"/>
            <w:bookmarkEnd w:id="351"/>
            <w:r>
              <w:rPr>
                <w:rFonts w:hint="default" w:ascii="Times New Roman" w:hAnsi="Times New Roman" w:eastAsia="宋体" w:cs="Times New Roman"/>
                <w:color w:val="auto"/>
                <w:sz w:val="24"/>
                <w:szCs w:val="24"/>
              </w:rPr>
              <w:t>市园林和林业局、</w:t>
            </w:r>
            <w:bookmarkStart w:id="352" w:name="OLE_LINK72"/>
            <w:r>
              <w:rPr>
                <w:rFonts w:hint="default" w:ascii="Times New Roman" w:hAnsi="Times New Roman" w:eastAsia="宋体" w:cs="Times New Roman"/>
                <w:color w:val="auto"/>
                <w:sz w:val="24"/>
                <w:szCs w:val="24"/>
              </w:rPr>
              <w:t>市生态环境局</w:t>
            </w:r>
            <w:bookmarkEnd w:id="352"/>
            <w:r>
              <w:rPr>
                <w:rFonts w:hint="default" w:ascii="Times New Roman" w:hAnsi="Times New Roman" w:eastAsia="宋体" w:cs="Times New Roman"/>
                <w:color w:val="auto"/>
                <w:sz w:val="24"/>
                <w:szCs w:val="24"/>
              </w:rPr>
              <w:t>，各区</w:t>
            </w:r>
          </w:p>
        </w:tc>
      </w:tr>
      <w:tr w14:paraId="534BF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510" w:hRule="atLeast"/>
          <w:jc w:val="center"/>
        </w:trPr>
        <w:tc>
          <w:tcPr>
            <w:tcW w:w="718" w:type="dxa"/>
            <w:vAlign w:val="center"/>
          </w:tcPr>
          <w:p w14:paraId="226D0D36">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16</w:t>
            </w:r>
          </w:p>
        </w:tc>
        <w:tc>
          <w:tcPr>
            <w:tcW w:w="1161" w:type="dxa"/>
            <w:vAlign w:val="center"/>
          </w:tcPr>
          <w:p w14:paraId="6C60434C">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水生生物多样性恢复项目</w:t>
            </w:r>
          </w:p>
        </w:tc>
        <w:tc>
          <w:tcPr>
            <w:tcW w:w="4054" w:type="dxa"/>
            <w:vAlign w:val="center"/>
          </w:tcPr>
          <w:p w14:paraId="1FC20B7B">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科学规范开展武汉本土水生生物增殖放流活动，开展胭脂鱼等珍稀濒危和特色鱼类的繁育、放流野化</w:t>
            </w:r>
          </w:p>
        </w:tc>
        <w:tc>
          <w:tcPr>
            <w:tcW w:w="1162" w:type="dxa"/>
            <w:vAlign w:val="center"/>
          </w:tcPr>
          <w:p w14:paraId="23B630E1">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0D36F310">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市农业农村局，各区</w:t>
            </w:r>
          </w:p>
        </w:tc>
      </w:tr>
      <w:tr w14:paraId="1AB92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567" w:hRule="atLeast"/>
          <w:jc w:val="center"/>
        </w:trPr>
        <w:tc>
          <w:tcPr>
            <w:tcW w:w="8685" w:type="dxa"/>
            <w:gridSpan w:val="5"/>
            <w:shd w:val="clear" w:color="auto" w:fill="D8D8D8" w:themeFill="background1" w:themeFillShade="D9"/>
            <w:vAlign w:val="center"/>
          </w:tcPr>
          <w:p w14:paraId="6F4E0304">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（三）生物多样性可持续利用八大优先项目</w:t>
            </w:r>
          </w:p>
        </w:tc>
      </w:tr>
      <w:tr w14:paraId="19AF7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1971" w:hRule="atLeast"/>
          <w:jc w:val="center"/>
        </w:trPr>
        <w:tc>
          <w:tcPr>
            <w:tcW w:w="718" w:type="dxa"/>
            <w:vAlign w:val="center"/>
          </w:tcPr>
          <w:p w14:paraId="26D20EDE">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17</w:t>
            </w:r>
          </w:p>
        </w:tc>
        <w:tc>
          <w:tcPr>
            <w:tcW w:w="1161" w:type="dxa"/>
            <w:vAlign w:val="center"/>
          </w:tcPr>
          <w:p w14:paraId="6E4321FF">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体育+生态旅游建设项目</w:t>
            </w:r>
          </w:p>
        </w:tc>
        <w:tc>
          <w:tcPr>
            <w:tcW w:w="4054" w:type="dxa"/>
            <w:vAlign w:val="center"/>
          </w:tcPr>
          <w:p w14:paraId="7606A925">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依托现有国家级景区资源，以四季花城品牌为抓手，结合“汉马”“武网”等</w:t>
            </w:r>
            <w:bookmarkStart w:id="353" w:name="OLE_LINK86"/>
            <w:bookmarkStart w:id="354" w:name="OLE_LINK85"/>
            <w:r>
              <w:rPr>
                <w:rFonts w:hint="default" w:ascii="Times New Roman" w:hAnsi="Times New Roman" w:eastAsia="宋体" w:cs="Times New Roman"/>
                <w:color w:val="auto"/>
                <w:sz w:val="24"/>
                <w:szCs w:val="24"/>
              </w:rPr>
              <w:t>休闲</w:t>
            </w:r>
            <w:bookmarkEnd w:id="353"/>
            <w:bookmarkEnd w:id="354"/>
            <w:r>
              <w:rPr>
                <w:rFonts w:hint="default" w:ascii="Times New Roman" w:hAnsi="Times New Roman" w:eastAsia="宋体" w:cs="Times New Roman"/>
                <w:color w:val="auto"/>
                <w:sz w:val="24"/>
                <w:szCs w:val="24"/>
              </w:rPr>
              <w:t>活动，打造休闲运动文化与生态旅游相融合的新形态旅游品牌</w:t>
            </w:r>
          </w:p>
        </w:tc>
        <w:tc>
          <w:tcPr>
            <w:tcW w:w="1162" w:type="dxa"/>
            <w:vAlign w:val="center"/>
          </w:tcPr>
          <w:p w14:paraId="7BA8CCD9">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720EEBD7">
            <w:pPr>
              <w:spacing w:line="360" w:lineRule="exact"/>
              <w:ind w:firstLine="0" w:firstLineChars="0"/>
              <w:jc w:val="both"/>
              <w:rPr>
                <w:rFonts w:hint="default" w:ascii="Times New Roman" w:hAnsi="Times New Roman" w:eastAsia="宋体" w:cs="Times New Roman"/>
                <w:color w:val="auto"/>
                <w:sz w:val="24"/>
                <w:szCs w:val="24"/>
              </w:rPr>
            </w:pPr>
            <w:bookmarkStart w:id="355" w:name="OLE_LINK84"/>
            <w:r>
              <w:rPr>
                <w:rFonts w:hint="default" w:ascii="Times New Roman" w:hAnsi="Times New Roman" w:eastAsia="宋体" w:cs="Times New Roman"/>
                <w:color w:val="auto"/>
                <w:sz w:val="24"/>
                <w:szCs w:val="24"/>
              </w:rPr>
              <w:t>市文化和旅游局</w:t>
            </w:r>
            <w:bookmarkEnd w:id="355"/>
            <w:r>
              <w:rPr>
                <w:rFonts w:hint="default" w:ascii="Times New Roman" w:hAnsi="Times New Roman" w:eastAsia="宋体" w:cs="Times New Roman"/>
                <w:color w:val="auto"/>
                <w:sz w:val="24"/>
                <w:szCs w:val="24"/>
              </w:rPr>
              <w:t>、市园林和林业局、市体育局，各相关区</w:t>
            </w:r>
          </w:p>
        </w:tc>
      </w:tr>
      <w:tr w14:paraId="10877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384" w:hRule="atLeast"/>
          <w:jc w:val="center"/>
        </w:trPr>
        <w:tc>
          <w:tcPr>
            <w:tcW w:w="718" w:type="dxa"/>
            <w:vAlign w:val="center"/>
          </w:tcPr>
          <w:p w14:paraId="6EB51FD8">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18</w:t>
            </w:r>
          </w:p>
        </w:tc>
        <w:tc>
          <w:tcPr>
            <w:tcW w:w="1161" w:type="dxa"/>
            <w:vAlign w:val="center"/>
          </w:tcPr>
          <w:p w14:paraId="2A04EA4E">
            <w:pPr>
              <w:spacing w:line="360" w:lineRule="exact"/>
              <w:ind w:firstLine="0" w:firstLineChars="0"/>
              <w:jc w:val="both"/>
              <w:rPr>
                <w:rFonts w:hint="default" w:ascii="Times New Roman" w:hAnsi="Times New Roman" w:eastAsia="宋体" w:cs="Times New Roman"/>
                <w:color w:val="auto"/>
                <w:sz w:val="24"/>
                <w:szCs w:val="24"/>
              </w:rPr>
            </w:pPr>
            <w:bookmarkStart w:id="356" w:name="OLE_LINK118"/>
            <w:r>
              <w:rPr>
                <w:rFonts w:hint="default" w:ascii="Times New Roman" w:hAnsi="Times New Roman" w:eastAsia="宋体" w:cs="Times New Roman"/>
                <w:color w:val="auto"/>
                <w:sz w:val="24"/>
                <w:szCs w:val="24"/>
              </w:rPr>
              <w:t>农业+</w:t>
            </w:r>
            <w:bookmarkEnd w:id="356"/>
            <w:r>
              <w:rPr>
                <w:rFonts w:hint="default" w:ascii="Times New Roman" w:hAnsi="Times New Roman" w:eastAsia="宋体" w:cs="Times New Roman"/>
                <w:color w:val="auto"/>
                <w:sz w:val="24"/>
                <w:szCs w:val="24"/>
              </w:rPr>
              <w:t>生态旅游示范项目</w:t>
            </w:r>
          </w:p>
        </w:tc>
        <w:tc>
          <w:tcPr>
            <w:tcW w:w="4054" w:type="dxa"/>
            <w:vAlign w:val="center"/>
          </w:tcPr>
          <w:p w14:paraId="2EA38F97">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夯实都市田园综合体建设成果，加快“农康旅”融合发展，构建“医、游、食、养”一体的现代“生态+大健康”产业体系</w:t>
            </w:r>
          </w:p>
        </w:tc>
        <w:tc>
          <w:tcPr>
            <w:tcW w:w="1162" w:type="dxa"/>
            <w:vAlign w:val="center"/>
          </w:tcPr>
          <w:p w14:paraId="05340047">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2027年</w:t>
            </w:r>
          </w:p>
        </w:tc>
        <w:tc>
          <w:tcPr>
            <w:tcW w:w="1590" w:type="dxa"/>
            <w:vAlign w:val="center"/>
          </w:tcPr>
          <w:p w14:paraId="6BDF6351">
            <w:pPr>
              <w:spacing w:line="360" w:lineRule="exact"/>
              <w:ind w:firstLine="0" w:firstLineChars="0"/>
              <w:jc w:val="both"/>
              <w:rPr>
                <w:rFonts w:hint="default" w:ascii="Times New Roman" w:hAnsi="Times New Roman" w:eastAsia="宋体" w:cs="Times New Roman"/>
                <w:color w:val="auto"/>
                <w:sz w:val="24"/>
                <w:szCs w:val="24"/>
              </w:rPr>
            </w:pPr>
            <w:bookmarkStart w:id="357" w:name="OLE_LINK74"/>
            <w:r>
              <w:rPr>
                <w:rFonts w:hint="default" w:ascii="Times New Roman" w:hAnsi="Times New Roman" w:eastAsia="宋体" w:cs="Times New Roman"/>
                <w:color w:val="auto"/>
                <w:sz w:val="24"/>
                <w:szCs w:val="24"/>
              </w:rPr>
              <w:t>市农业农村局</w:t>
            </w:r>
            <w:bookmarkEnd w:id="357"/>
            <w:r>
              <w:rPr>
                <w:rFonts w:hint="default" w:ascii="Times New Roman" w:hAnsi="Times New Roman" w:eastAsia="宋体" w:cs="Times New Roman"/>
                <w:color w:val="auto"/>
                <w:sz w:val="24"/>
                <w:szCs w:val="24"/>
              </w:rPr>
              <w:t>、市文化和旅游局、市卫生健康委员会，各相关区</w:t>
            </w:r>
          </w:p>
        </w:tc>
      </w:tr>
      <w:tr w14:paraId="1B029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556" w:hRule="atLeast"/>
          <w:jc w:val="center"/>
        </w:trPr>
        <w:tc>
          <w:tcPr>
            <w:tcW w:w="718" w:type="dxa"/>
            <w:vAlign w:val="center"/>
          </w:tcPr>
          <w:p w14:paraId="6855D891">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19</w:t>
            </w:r>
          </w:p>
        </w:tc>
        <w:tc>
          <w:tcPr>
            <w:tcW w:w="1161" w:type="dxa"/>
            <w:vAlign w:val="center"/>
          </w:tcPr>
          <w:p w14:paraId="727755B3">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特色农业生物资源开发与利用项目</w:t>
            </w:r>
          </w:p>
        </w:tc>
        <w:tc>
          <w:tcPr>
            <w:tcW w:w="4054" w:type="dxa"/>
            <w:vAlign w:val="center"/>
          </w:tcPr>
          <w:p w14:paraId="27402937">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开发食、药、观赏等特色</w:t>
            </w:r>
            <w:bookmarkStart w:id="358" w:name="OLE_LINK75"/>
            <w:r>
              <w:rPr>
                <w:rFonts w:hint="default" w:ascii="Times New Roman" w:hAnsi="Times New Roman" w:eastAsia="宋体" w:cs="Times New Roman"/>
                <w:color w:val="auto"/>
                <w:sz w:val="24"/>
                <w:szCs w:val="24"/>
              </w:rPr>
              <w:t>农业生物资源</w:t>
            </w:r>
            <w:bookmarkEnd w:id="358"/>
            <w:r>
              <w:rPr>
                <w:rFonts w:hint="default" w:ascii="Times New Roman" w:hAnsi="Times New Roman" w:eastAsia="宋体" w:cs="Times New Roman"/>
                <w:color w:val="auto"/>
                <w:sz w:val="24"/>
                <w:szCs w:val="24"/>
              </w:rPr>
              <w:t>推广市场，加强</w:t>
            </w:r>
            <w:r>
              <w:rPr>
                <w:rFonts w:hint="default" w:ascii="Times New Roman" w:hAnsi="Times New Roman" w:cs="Times New Roman" w:eastAsiaTheme="minorEastAsia"/>
                <w:color w:val="auto"/>
                <w:sz w:val="24"/>
                <w:szCs w:val="24"/>
              </w:rPr>
              <w:t>“洪山菜薹”“蔡甸莲藕”</w:t>
            </w:r>
            <w:r>
              <w:rPr>
                <w:rFonts w:hint="default" w:ascii="Times New Roman" w:hAnsi="Times New Roman" w:eastAsia="宋体" w:cs="Times New Roman"/>
                <w:color w:val="auto"/>
                <w:sz w:val="24"/>
                <w:szCs w:val="24"/>
              </w:rPr>
              <w:t>等“江城百臻”公共区域品牌建设与推广</w:t>
            </w:r>
          </w:p>
        </w:tc>
        <w:tc>
          <w:tcPr>
            <w:tcW w:w="1162" w:type="dxa"/>
            <w:vAlign w:val="center"/>
          </w:tcPr>
          <w:p w14:paraId="73663461">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2A1444A4">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市农业农村局，各相关区</w:t>
            </w:r>
          </w:p>
        </w:tc>
      </w:tr>
      <w:tr w14:paraId="7A207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510" w:hRule="atLeast"/>
          <w:jc w:val="center"/>
        </w:trPr>
        <w:tc>
          <w:tcPr>
            <w:tcW w:w="718" w:type="dxa"/>
            <w:vAlign w:val="center"/>
          </w:tcPr>
          <w:p w14:paraId="083EBAC6">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w:t>
            </w:r>
          </w:p>
        </w:tc>
        <w:tc>
          <w:tcPr>
            <w:tcW w:w="1161" w:type="dxa"/>
            <w:vAlign w:val="center"/>
          </w:tcPr>
          <w:p w14:paraId="7096A563">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林业产业提质增效项目</w:t>
            </w:r>
          </w:p>
        </w:tc>
        <w:tc>
          <w:tcPr>
            <w:tcW w:w="4054" w:type="dxa"/>
            <w:vAlign w:val="center"/>
          </w:tcPr>
          <w:p w14:paraId="1382EA49">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大力发展森林旅游、森林康养等生态产业，加快花卉苗木基地提档升级</w:t>
            </w:r>
          </w:p>
        </w:tc>
        <w:tc>
          <w:tcPr>
            <w:tcW w:w="1162" w:type="dxa"/>
            <w:vAlign w:val="center"/>
          </w:tcPr>
          <w:p w14:paraId="78DAE682">
            <w:pPr>
              <w:spacing w:line="360" w:lineRule="exact"/>
              <w:ind w:firstLine="0" w:firstLineChars="0"/>
              <w:jc w:val="center"/>
              <w:rPr>
                <w:rFonts w:hint="default" w:ascii="Times New Roman" w:hAnsi="Times New Roman" w:eastAsia="宋体" w:cs="Times New Roman"/>
                <w:color w:val="auto"/>
                <w:sz w:val="24"/>
                <w:szCs w:val="24"/>
              </w:rPr>
            </w:pPr>
            <w:bookmarkStart w:id="359" w:name="OLE_LINK77"/>
            <w:r>
              <w:rPr>
                <w:rFonts w:hint="default" w:ascii="Times New Roman" w:hAnsi="Times New Roman" w:eastAsia="宋体" w:cs="Times New Roman"/>
                <w:color w:val="auto"/>
                <w:sz w:val="24"/>
                <w:szCs w:val="24"/>
              </w:rPr>
              <w:t>2030年</w:t>
            </w:r>
            <w:bookmarkEnd w:id="359"/>
          </w:p>
        </w:tc>
        <w:tc>
          <w:tcPr>
            <w:tcW w:w="1590" w:type="dxa"/>
            <w:vAlign w:val="center"/>
          </w:tcPr>
          <w:p w14:paraId="18EE14CF">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市园林和林业局，各区</w:t>
            </w:r>
          </w:p>
        </w:tc>
      </w:tr>
      <w:tr w14:paraId="11B03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1412" w:hRule="atLeast"/>
          <w:jc w:val="center"/>
        </w:trPr>
        <w:tc>
          <w:tcPr>
            <w:tcW w:w="718" w:type="dxa"/>
            <w:vAlign w:val="center"/>
          </w:tcPr>
          <w:p w14:paraId="244A4A1D">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21</w:t>
            </w:r>
          </w:p>
        </w:tc>
        <w:tc>
          <w:tcPr>
            <w:tcW w:w="1161" w:type="dxa"/>
            <w:vAlign w:val="center"/>
          </w:tcPr>
          <w:p w14:paraId="4E1BA0B4">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食用菌资源保护与可持续利用项目</w:t>
            </w:r>
          </w:p>
        </w:tc>
        <w:tc>
          <w:tcPr>
            <w:tcW w:w="4054" w:type="dxa"/>
            <w:vAlign w:val="center"/>
          </w:tcPr>
          <w:p w14:paraId="1E400237">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针对武汉城市森林中的野生菌类资源（如松乳菇、牛肝菌、木耳、鳞伞、田头菇等），建立科学监测与采集管理体系，推广绿色可持续发展理念</w:t>
            </w:r>
          </w:p>
        </w:tc>
        <w:tc>
          <w:tcPr>
            <w:tcW w:w="1162" w:type="dxa"/>
            <w:vAlign w:val="center"/>
          </w:tcPr>
          <w:p w14:paraId="2F69BA15">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1D42BDF3">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市农业农村局、市园林和林业局，各相关区</w:t>
            </w:r>
          </w:p>
        </w:tc>
      </w:tr>
      <w:tr w14:paraId="39956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2058" w:hRule="atLeast"/>
          <w:jc w:val="center"/>
        </w:trPr>
        <w:tc>
          <w:tcPr>
            <w:tcW w:w="718" w:type="dxa"/>
            <w:vAlign w:val="center"/>
          </w:tcPr>
          <w:p w14:paraId="6CF8EF64">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22</w:t>
            </w:r>
          </w:p>
        </w:tc>
        <w:tc>
          <w:tcPr>
            <w:tcW w:w="1161" w:type="dxa"/>
            <w:vAlign w:val="center"/>
          </w:tcPr>
          <w:p w14:paraId="053BCB83">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碳汇建设与交易项目</w:t>
            </w:r>
          </w:p>
        </w:tc>
        <w:tc>
          <w:tcPr>
            <w:tcW w:w="4054" w:type="dxa"/>
            <w:vAlign w:val="center"/>
          </w:tcPr>
          <w:p w14:paraId="57C6E68B">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推进国家储备林建设；推进近零碳排放区示范工程建设，积极建设中国碳排放权注册登记系统；积极试点绿色金融，支持企业申报发行绿色债券，加快气候适应型城市建设，推进国家气候投融资试点</w:t>
            </w:r>
          </w:p>
        </w:tc>
        <w:tc>
          <w:tcPr>
            <w:tcW w:w="1162" w:type="dxa"/>
            <w:vAlign w:val="center"/>
          </w:tcPr>
          <w:p w14:paraId="6B2AF3BE">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768B4BD8">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市生态环境局、市园林和林业局，各相关区</w:t>
            </w:r>
          </w:p>
        </w:tc>
      </w:tr>
      <w:tr w14:paraId="1D8F7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1567" w:hRule="atLeast"/>
          <w:jc w:val="center"/>
        </w:trPr>
        <w:tc>
          <w:tcPr>
            <w:tcW w:w="718" w:type="dxa"/>
            <w:vAlign w:val="center"/>
          </w:tcPr>
          <w:p w14:paraId="76BA4883">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23</w:t>
            </w:r>
          </w:p>
        </w:tc>
        <w:tc>
          <w:tcPr>
            <w:tcW w:w="1161" w:type="dxa"/>
            <w:vAlign w:val="center"/>
          </w:tcPr>
          <w:p w14:paraId="4A199AB7">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生物多样性体验地建设项目</w:t>
            </w:r>
          </w:p>
        </w:tc>
        <w:tc>
          <w:tcPr>
            <w:tcW w:w="4054" w:type="dxa"/>
            <w:vAlign w:val="center"/>
          </w:tcPr>
          <w:p w14:paraId="4A02F49E">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围绕生物多样性保护为主题，推进生物多样性体验馆建设，作为生态旅游的重要组成部分，形成生物资源科普、宣传、展示的亮点和品牌</w:t>
            </w:r>
          </w:p>
        </w:tc>
        <w:tc>
          <w:tcPr>
            <w:tcW w:w="1162" w:type="dxa"/>
            <w:vAlign w:val="center"/>
          </w:tcPr>
          <w:p w14:paraId="6EEF500F">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271E0BCE">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市生态环境局、市农业农村局、市园林和林业局，各区</w:t>
            </w:r>
          </w:p>
        </w:tc>
      </w:tr>
      <w:tr w14:paraId="37212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907" w:hRule="atLeast"/>
          <w:jc w:val="center"/>
        </w:trPr>
        <w:tc>
          <w:tcPr>
            <w:tcW w:w="718" w:type="dxa"/>
            <w:vAlign w:val="center"/>
          </w:tcPr>
          <w:p w14:paraId="119DAF83">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24</w:t>
            </w:r>
          </w:p>
        </w:tc>
        <w:tc>
          <w:tcPr>
            <w:tcW w:w="1161" w:type="dxa"/>
            <w:vAlign w:val="center"/>
          </w:tcPr>
          <w:p w14:paraId="5C4F5D2B">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生物多样性保护宣教项目</w:t>
            </w:r>
          </w:p>
        </w:tc>
        <w:tc>
          <w:tcPr>
            <w:tcW w:w="4054" w:type="dxa"/>
            <w:vAlign w:val="center"/>
          </w:tcPr>
          <w:p w14:paraId="583887B2">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组织科普教育、野外体验等形式多样的宣教活动；积极开展生态文明建设示范区、</w:t>
            </w:r>
            <w:r>
              <w:rPr>
                <w:rFonts w:hint="default" w:ascii="Times New Roman" w:hAnsi="Times New Roman" w:cs="Times New Roman" w:eastAsiaTheme="minorEastAsia"/>
                <w:color w:val="auto"/>
                <w:sz w:val="24"/>
                <w:szCs w:val="24"/>
              </w:rPr>
              <w:t>“绿水青山就是金山银山”</w:t>
            </w:r>
            <w:r>
              <w:rPr>
                <w:rFonts w:hint="default" w:ascii="Times New Roman" w:hAnsi="Times New Roman" w:eastAsia="宋体" w:cs="Times New Roman"/>
                <w:color w:val="auto"/>
                <w:sz w:val="24"/>
                <w:szCs w:val="24"/>
              </w:rPr>
              <w:t>实践创新基地创建，结合地方特色生态系统和生物资源，开展观鸟比赛、摄影比赛等生物多样性体验活动</w:t>
            </w:r>
          </w:p>
        </w:tc>
        <w:tc>
          <w:tcPr>
            <w:tcW w:w="1162" w:type="dxa"/>
            <w:vAlign w:val="center"/>
          </w:tcPr>
          <w:p w14:paraId="03A762D4">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2030年</w:t>
            </w:r>
          </w:p>
        </w:tc>
        <w:tc>
          <w:tcPr>
            <w:tcW w:w="1590" w:type="dxa"/>
            <w:vAlign w:val="center"/>
          </w:tcPr>
          <w:p w14:paraId="02A809FE">
            <w:pPr>
              <w:spacing w:line="360" w:lineRule="exact"/>
              <w:ind w:firstLine="0" w:firstLineChar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市生态环境局、市农业农村局、市园林和林业局、市教育局，各区</w:t>
            </w:r>
          </w:p>
        </w:tc>
      </w:tr>
    </w:tbl>
    <w:p w14:paraId="06D099DF">
      <w:pPr>
        <w:pStyle w:val="3"/>
        <w:ind w:firstLine="640"/>
        <w:rPr>
          <w:rFonts w:hint="default" w:ascii="Times New Roman" w:hAnsi="Times New Roman" w:cs="Times New Roman"/>
          <w:color w:val="auto"/>
        </w:rPr>
      </w:pPr>
      <w:r>
        <w:rPr>
          <w:rFonts w:hint="default" w:ascii="Times New Roman" w:hAnsi="Times New Roman" w:cs="Times New Roman"/>
          <w:color w:val="auto"/>
        </w:rPr>
        <w:br w:type="page"/>
      </w:r>
    </w:p>
    <w:p w14:paraId="2779FBD6">
      <w:pPr>
        <w:pStyle w:val="43"/>
        <w:spacing w:after="218"/>
        <w:rPr>
          <w:rFonts w:hint="default" w:ascii="Times New Roman" w:hAnsi="Times New Roman" w:cs="Times New Roman"/>
          <w:b w:val="0"/>
          <w:bCs w:val="0"/>
          <w:color w:val="auto"/>
          <w:sz w:val="32"/>
        </w:rPr>
      </w:pPr>
      <w:bookmarkStart w:id="360" w:name="_Toc194476155"/>
      <w:r>
        <w:rPr>
          <w:rFonts w:hint="default" w:ascii="Times New Roman" w:hAnsi="Times New Roman" w:cs="Times New Roman"/>
          <w:b w:val="0"/>
          <w:bCs w:val="0"/>
          <w:color w:val="auto"/>
          <w:sz w:val="32"/>
        </w:rPr>
        <w:t>附表2  生物多样性保护重大工程汇总表</w:t>
      </w:r>
      <w:bookmarkEnd w:id="360"/>
    </w:p>
    <w:tbl>
      <w:tblPr>
        <w:tblStyle w:val="2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418"/>
        <w:gridCol w:w="3118"/>
        <w:gridCol w:w="1276"/>
        <w:gridCol w:w="1219"/>
      </w:tblGrid>
      <w:tr w14:paraId="12D9C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271" w:type="dxa"/>
            <w:vAlign w:val="center"/>
          </w:tcPr>
          <w:p w14:paraId="5471897A">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生态名片</w:t>
            </w:r>
          </w:p>
        </w:tc>
        <w:tc>
          <w:tcPr>
            <w:tcW w:w="1418" w:type="dxa"/>
            <w:vAlign w:val="center"/>
          </w:tcPr>
          <w:p w14:paraId="216638ED">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工程名称</w:t>
            </w:r>
          </w:p>
        </w:tc>
        <w:tc>
          <w:tcPr>
            <w:tcW w:w="3118" w:type="dxa"/>
            <w:vAlign w:val="center"/>
          </w:tcPr>
          <w:p w14:paraId="51AD980A">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内容</w:t>
            </w:r>
          </w:p>
        </w:tc>
        <w:tc>
          <w:tcPr>
            <w:tcW w:w="1276" w:type="dxa"/>
            <w:vAlign w:val="center"/>
          </w:tcPr>
          <w:p w14:paraId="02B83723">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完成时限</w:t>
            </w:r>
          </w:p>
        </w:tc>
        <w:tc>
          <w:tcPr>
            <w:tcW w:w="1219" w:type="dxa"/>
            <w:vAlign w:val="center"/>
          </w:tcPr>
          <w:p w14:paraId="2AC6B7CC">
            <w:pPr>
              <w:spacing w:line="360" w:lineRule="exact"/>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责任单位</w:t>
            </w:r>
          </w:p>
        </w:tc>
      </w:tr>
      <w:tr w14:paraId="55AF2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0497C8EC">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百里</w:t>
            </w:r>
          </w:p>
          <w:p w14:paraId="0530E8CA">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长江</w:t>
            </w:r>
          </w:p>
          <w:p w14:paraId="01020CC8">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生态</w:t>
            </w:r>
          </w:p>
          <w:p w14:paraId="445984AC">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廊道</w:t>
            </w:r>
          </w:p>
        </w:tc>
        <w:tc>
          <w:tcPr>
            <w:tcW w:w="1418" w:type="dxa"/>
            <w:vAlign w:val="center"/>
          </w:tcPr>
          <w:p w14:paraId="2AF86314">
            <w:pPr>
              <w:spacing w:line="360" w:lineRule="exact"/>
              <w:ind w:firstLine="0" w:firstLineChars="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百里长江生态廊道建设工程</w:t>
            </w:r>
          </w:p>
        </w:tc>
        <w:tc>
          <w:tcPr>
            <w:tcW w:w="3118" w:type="dxa"/>
            <w:vAlign w:val="center"/>
          </w:tcPr>
          <w:p w14:paraId="455A48ED">
            <w:pPr>
              <w:spacing w:line="360" w:lineRule="exact"/>
              <w:ind w:firstLine="0" w:firstLineChars="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加快推进</w:t>
            </w:r>
            <w:bookmarkStart w:id="361" w:name="OLE_LINK15"/>
            <w:r>
              <w:rPr>
                <w:rFonts w:hint="default" w:ascii="Times New Roman" w:hAnsi="Times New Roman" w:cs="Times New Roman" w:eastAsiaTheme="minorEastAsia"/>
                <w:color w:val="auto"/>
                <w:sz w:val="24"/>
                <w:szCs w:val="24"/>
              </w:rPr>
              <w:t>武船片堤防</w:t>
            </w:r>
            <w:bookmarkEnd w:id="361"/>
            <w:r>
              <w:rPr>
                <w:rFonts w:hint="default" w:ascii="Times New Roman" w:hAnsi="Times New Roman" w:cs="Times New Roman" w:eastAsiaTheme="minorEastAsia"/>
                <w:color w:val="auto"/>
                <w:sz w:val="24"/>
                <w:szCs w:val="24"/>
              </w:rPr>
              <w:t>改造及江滩环境整治工程、江汉碧道（龙王庙至武汉关段）连通工程，打造武汉市生态保护、绿色发展、文旅融合的重要载体</w:t>
            </w:r>
          </w:p>
        </w:tc>
        <w:tc>
          <w:tcPr>
            <w:tcW w:w="1276" w:type="dxa"/>
            <w:vAlign w:val="center"/>
          </w:tcPr>
          <w:p w14:paraId="7F11933C">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2025年</w:t>
            </w:r>
          </w:p>
        </w:tc>
        <w:tc>
          <w:tcPr>
            <w:tcW w:w="1219" w:type="dxa"/>
            <w:vAlign w:val="center"/>
          </w:tcPr>
          <w:p w14:paraId="60C8928B">
            <w:pPr>
              <w:spacing w:line="360" w:lineRule="exact"/>
              <w:ind w:firstLine="0" w:firstLineChars="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各相关区</w:t>
            </w:r>
          </w:p>
        </w:tc>
      </w:tr>
      <w:tr w14:paraId="58D4B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14:paraId="726D12C2">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东湖</w:t>
            </w:r>
          </w:p>
          <w:p w14:paraId="356FBFB5">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生态</w:t>
            </w:r>
          </w:p>
          <w:p w14:paraId="6C458C64">
            <w:pPr>
              <w:spacing w:line="360" w:lineRule="exact"/>
              <w:ind w:firstLine="0" w:firstLineChars="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绿心</w:t>
            </w:r>
          </w:p>
        </w:tc>
        <w:tc>
          <w:tcPr>
            <w:tcW w:w="1418" w:type="dxa"/>
            <w:vAlign w:val="center"/>
          </w:tcPr>
          <w:p w14:paraId="06B8A031">
            <w:pPr>
              <w:spacing w:line="360" w:lineRule="exact"/>
              <w:ind w:firstLine="0" w:firstLineChars="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环东湖百里绿道提升和生态廊道优化工程</w:t>
            </w:r>
          </w:p>
        </w:tc>
        <w:tc>
          <w:tcPr>
            <w:tcW w:w="3118" w:type="dxa"/>
            <w:vAlign w:val="center"/>
          </w:tcPr>
          <w:p w14:paraId="4C54C372">
            <w:pPr>
              <w:spacing w:line="360" w:lineRule="exact"/>
              <w:ind w:firstLine="0" w:firstLineChars="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建设东湖生物多样性体验馆，规划生物多样性研学路线，打造生物多样性研学体验目的地；优化东湖生态廊道，提升野生动物栖息地质量，沿途设置生物多样性宣教设施和互动设施，打造世界名湖、人民乐园</w:t>
            </w:r>
          </w:p>
        </w:tc>
        <w:tc>
          <w:tcPr>
            <w:tcW w:w="1276" w:type="dxa"/>
            <w:vAlign w:val="center"/>
          </w:tcPr>
          <w:p w14:paraId="453335D1">
            <w:pPr>
              <w:spacing w:line="360" w:lineRule="exact"/>
              <w:ind w:firstLine="0" w:firstLineChars="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2030年</w:t>
            </w:r>
          </w:p>
        </w:tc>
        <w:tc>
          <w:tcPr>
            <w:tcW w:w="1219" w:type="dxa"/>
            <w:vMerge w:val="restart"/>
            <w:vAlign w:val="center"/>
          </w:tcPr>
          <w:p w14:paraId="1CAB029B">
            <w:pPr>
              <w:spacing w:line="360" w:lineRule="exact"/>
              <w:ind w:firstLine="0" w:firstLineChars="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东湖生态旅游风景区</w:t>
            </w:r>
          </w:p>
          <w:p w14:paraId="5504792F">
            <w:pPr>
              <w:spacing w:line="360" w:lineRule="exact"/>
              <w:ind w:firstLine="0" w:firstLineChars="0"/>
              <w:rPr>
                <w:rFonts w:hint="default" w:ascii="Times New Roman" w:hAnsi="Times New Roman" w:cs="Times New Roman" w:eastAsiaTheme="minorEastAsia"/>
                <w:color w:val="auto"/>
              </w:rPr>
            </w:pPr>
          </w:p>
        </w:tc>
      </w:tr>
      <w:tr w14:paraId="6D1A6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576FBAE7">
            <w:pPr>
              <w:spacing w:line="360" w:lineRule="exact"/>
              <w:ind w:firstLine="0" w:firstLineChars="0"/>
              <w:jc w:val="center"/>
              <w:rPr>
                <w:rFonts w:hint="default" w:ascii="Times New Roman" w:hAnsi="Times New Roman" w:cs="Times New Roman" w:eastAsiaTheme="minorEastAsia"/>
                <w:color w:val="auto"/>
              </w:rPr>
            </w:pPr>
          </w:p>
        </w:tc>
        <w:tc>
          <w:tcPr>
            <w:tcW w:w="1418" w:type="dxa"/>
            <w:vAlign w:val="center"/>
          </w:tcPr>
          <w:p w14:paraId="6956759E">
            <w:pPr>
              <w:spacing w:line="360" w:lineRule="exact"/>
              <w:ind w:firstLine="0" w:firstLineChars="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东湖鼓架国际新景区建设工程</w:t>
            </w:r>
          </w:p>
        </w:tc>
        <w:tc>
          <w:tcPr>
            <w:tcW w:w="3118" w:type="dxa"/>
            <w:vAlign w:val="center"/>
          </w:tcPr>
          <w:p w14:paraId="6CC6AA3D">
            <w:pPr>
              <w:spacing w:line="360" w:lineRule="exact"/>
              <w:ind w:firstLine="0" w:firstLineChars="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开展山水林田湖草沙一体化保护和修复工程，建设东湖鼓架郊野公园，主打生态、文化、品质三重定位，打造精品文旅品牌和线路，着力把文化旅游业培育成为支柱产业</w:t>
            </w:r>
          </w:p>
        </w:tc>
        <w:tc>
          <w:tcPr>
            <w:tcW w:w="1276" w:type="dxa"/>
            <w:vAlign w:val="center"/>
          </w:tcPr>
          <w:p w14:paraId="5CA965A2">
            <w:pPr>
              <w:spacing w:line="360" w:lineRule="exact"/>
              <w:ind w:firstLine="0" w:firstLineChars="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2030年</w:t>
            </w:r>
          </w:p>
        </w:tc>
        <w:tc>
          <w:tcPr>
            <w:tcW w:w="1219" w:type="dxa"/>
            <w:vMerge w:val="continue"/>
            <w:vAlign w:val="center"/>
          </w:tcPr>
          <w:p w14:paraId="24815E2E">
            <w:pPr>
              <w:spacing w:line="360" w:lineRule="exact"/>
              <w:ind w:firstLine="0" w:firstLineChars="0"/>
              <w:rPr>
                <w:rFonts w:hint="default" w:ascii="Times New Roman" w:hAnsi="Times New Roman" w:cs="Times New Roman" w:eastAsiaTheme="minorEastAsia"/>
                <w:color w:val="auto"/>
              </w:rPr>
            </w:pPr>
          </w:p>
        </w:tc>
      </w:tr>
      <w:tr w14:paraId="16A5E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14:paraId="1296B7ED">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木兰</w:t>
            </w:r>
          </w:p>
          <w:p w14:paraId="7A5723EB">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生态</w:t>
            </w:r>
          </w:p>
          <w:p w14:paraId="753C1F3B">
            <w:pPr>
              <w:spacing w:line="360" w:lineRule="exact"/>
              <w:ind w:firstLine="0" w:firstLineChars="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高地</w:t>
            </w:r>
          </w:p>
        </w:tc>
        <w:tc>
          <w:tcPr>
            <w:tcW w:w="1418" w:type="dxa"/>
            <w:vAlign w:val="center"/>
          </w:tcPr>
          <w:p w14:paraId="3A142F70">
            <w:pPr>
              <w:spacing w:line="360" w:lineRule="exact"/>
              <w:ind w:firstLine="0" w:firstLineChars="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木兰湖滨湖绿道休闲环与农业休闲体验区建设工程</w:t>
            </w:r>
          </w:p>
        </w:tc>
        <w:tc>
          <w:tcPr>
            <w:tcW w:w="3118" w:type="dxa"/>
            <w:vAlign w:val="center"/>
          </w:tcPr>
          <w:p w14:paraId="1B415CC7">
            <w:pPr>
              <w:spacing w:line="360" w:lineRule="exact"/>
              <w:ind w:firstLine="0" w:firstLineChars="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建设世界级职业自行车赛道，“基于自然的解决方案”提升原有道路，建设以亲水为主题的“漫游”路线，打造木兰湖滨湖绿道休闲环。构建农业共生生态体系，营造乡村生活场景，建设市民田园家庭农场，设置农事体验等亲子活动，打造农业休闲体验区</w:t>
            </w:r>
          </w:p>
        </w:tc>
        <w:tc>
          <w:tcPr>
            <w:tcW w:w="1276" w:type="dxa"/>
            <w:vAlign w:val="center"/>
          </w:tcPr>
          <w:p w14:paraId="746B7F12">
            <w:pPr>
              <w:spacing w:line="360" w:lineRule="exact"/>
              <w:ind w:firstLine="0" w:firstLineChars="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2030年</w:t>
            </w:r>
          </w:p>
        </w:tc>
        <w:tc>
          <w:tcPr>
            <w:tcW w:w="1219" w:type="dxa"/>
            <w:vMerge w:val="restart"/>
            <w:vAlign w:val="center"/>
          </w:tcPr>
          <w:p w14:paraId="7E8E65B8">
            <w:pPr>
              <w:spacing w:line="360" w:lineRule="exact"/>
              <w:ind w:firstLine="0" w:firstLineChars="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黄陂区</w:t>
            </w:r>
          </w:p>
          <w:p w14:paraId="2C02232A">
            <w:pPr>
              <w:spacing w:line="360" w:lineRule="exact"/>
              <w:ind w:firstLine="0" w:firstLineChars="0"/>
              <w:rPr>
                <w:rFonts w:hint="default" w:ascii="Times New Roman" w:hAnsi="Times New Roman" w:cs="Times New Roman" w:eastAsiaTheme="minorEastAsia"/>
                <w:color w:val="auto"/>
              </w:rPr>
            </w:pPr>
          </w:p>
        </w:tc>
      </w:tr>
      <w:tr w14:paraId="57C2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28E71B9A">
            <w:pPr>
              <w:spacing w:line="360" w:lineRule="exact"/>
              <w:ind w:firstLine="0" w:firstLineChars="0"/>
              <w:jc w:val="center"/>
              <w:rPr>
                <w:rFonts w:hint="default" w:ascii="Times New Roman" w:hAnsi="Times New Roman" w:cs="Times New Roman" w:eastAsiaTheme="minorEastAsia"/>
                <w:color w:val="auto"/>
              </w:rPr>
            </w:pPr>
          </w:p>
        </w:tc>
        <w:tc>
          <w:tcPr>
            <w:tcW w:w="1418" w:type="dxa"/>
            <w:vAlign w:val="center"/>
          </w:tcPr>
          <w:p w14:paraId="3EC1C493">
            <w:pPr>
              <w:spacing w:line="360" w:lineRule="exact"/>
              <w:ind w:firstLine="0" w:firstLineChars="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木兰山森林保护修复工程</w:t>
            </w:r>
          </w:p>
        </w:tc>
        <w:tc>
          <w:tcPr>
            <w:tcW w:w="3118" w:type="dxa"/>
            <w:vAlign w:val="center"/>
          </w:tcPr>
          <w:p w14:paraId="24128636">
            <w:pPr>
              <w:spacing w:line="360" w:lineRule="exact"/>
              <w:ind w:firstLine="0" w:firstLineChars="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通过人工药物防治、挂诱捕器等大力开展松材线虫防治，实施疫木清理，维护森林生态安全</w:t>
            </w:r>
          </w:p>
        </w:tc>
        <w:tc>
          <w:tcPr>
            <w:tcW w:w="1276" w:type="dxa"/>
            <w:vAlign w:val="center"/>
          </w:tcPr>
          <w:p w14:paraId="730585BC">
            <w:pPr>
              <w:spacing w:line="360" w:lineRule="exact"/>
              <w:ind w:firstLine="0" w:firstLineChars="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2030年</w:t>
            </w:r>
          </w:p>
        </w:tc>
        <w:tc>
          <w:tcPr>
            <w:tcW w:w="1219" w:type="dxa"/>
            <w:vMerge w:val="continue"/>
            <w:vAlign w:val="center"/>
          </w:tcPr>
          <w:p w14:paraId="5A752D55">
            <w:pPr>
              <w:spacing w:line="360" w:lineRule="exact"/>
              <w:ind w:firstLine="0" w:firstLineChars="0"/>
              <w:rPr>
                <w:rFonts w:hint="default" w:ascii="Times New Roman" w:hAnsi="Times New Roman" w:cs="Times New Roman" w:eastAsiaTheme="minorEastAsia"/>
                <w:color w:val="auto"/>
              </w:rPr>
            </w:pPr>
          </w:p>
        </w:tc>
      </w:tr>
      <w:tr w14:paraId="3AEC0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14:paraId="20C92332">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沉湖</w:t>
            </w:r>
          </w:p>
          <w:p w14:paraId="3718B60C">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国际</w:t>
            </w:r>
          </w:p>
          <w:p w14:paraId="217C5544">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湿地</w:t>
            </w:r>
          </w:p>
          <w:p w14:paraId="73B0EDDB">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生态</w:t>
            </w:r>
          </w:p>
          <w:p w14:paraId="688C392D">
            <w:pPr>
              <w:spacing w:line="360" w:lineRule="exact"/>
              <w:ind w:firstLine="0" w:firstLineChars="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窗口</w:t>
            </w:r>
          </w:p>
        </w:tc>
        <w:tc>
          <w:tcPr>
            <w:tcW w:w="1418" w:type="dxa"/>
            <w:vAlign w:val="center"/>
          </w:tcPr>
          <w:p w14:paraId="79019F52">
            <w:pPr>
              <w:spacing w:line="360" w:lineRule="exact"/>
              <w:ind w:firstLine="0" w:firstLineChars="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沉湖国际湿地小镇建设工程</w:t>
            </w:r>
          </w:p>
        </w:tc>
        <w:tc>
          <w:tcPr>
            <w:tcW w:w="3118" w:type="dxa"/>
            <w:vAlign w:val="center"/>
          </w:tcPr>
          <w:p w14:paraId="7A855903">
            <w:pPr>
              <w:spacing w:line="360" w:lineRule="exact"/>
              <w:ind w:firstLine="0" w:firstLineChars="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充分利用当地湿地资源、候鸟资源、水域资源和林田资源，打造与自然融为一体的“湿地秘境”野奢度假区；建设以湿地实景观光、观鸟、科普为一体的实体体验场所</w:t>
            </w:r>
          </w:p>
        </w:tc>
        <w:tc>
          <w:tcPr>
            <w:tcW w:w="1276" w:type="dxa"/>
            <w:vAlign w:val="center"/>
          </w:tcPr>
          <w:p w14:paraId="4B453D5E">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2030年</w:t>
            </w:r>
          </w:p>
        </w:tc>
        <w:tc>
          <w:tcPr>
            <w:tcW w:w="1219" w:type="dxa"/>
            <w:vMerge w:val="restart"/>
            <w:vAlign w:val="center"/>
          </w:tcPr>
          <w:p w14:paraId="324307BF">
            <w:pPr>
              <w:spacing w:line="360" w:lineRule="exact"/>
              <w:ind w:firstLine="0" w:firstLineChars="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蔡甸区</w:t>
            </w:r>
          </w:p>
          <w:p w14:paraId="43E9B9D8">
            <w:pPr>
              <w:spacing w:line="360" w:lineRule="exact"/>
              <w:ind w:firstLine="0" w:firstLineChars="0"/>
              <w:rPr>
                <w:rFonts w:hint="default" w:ascii="Times New Roman" w:hAnsi="Times New Roman" w:cs="Times New Roman" w:eastAsiaTheme="minorEastAsia"/>
                <w:color w:val="auto"/>
              </w:rPr>
            </w:pPr>
          </w:p>
        </w:tc>
      </w:tr>
      <w:tr w14:paraId="6AACD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167E1A07">
            <w:pPr>
              <w:spacing w:line="360" w:lineRule="exact"/>
              <w:ind w:firstLine="0" w:firstLineChars="0"/>
              <w:jc w:val="center"/>
              <w:rPr>
                <w:rFonts w:hint="default" w:ascii="Times New Roman" w:hAnsi="Times New Roman" w:cs="Times New Roman" w:eastAsiaTheme="minorEastAsia"/>
                <w:color w:val="auto"/>
              </w:rPr>
            </w:pPr>
          </w:p>
        </w:tc>
        <w:tc>
          <w:tcPr>
            <w:tcW w:w="1418" w:type="dxa"/>
            <w:vAlign w:val="center"/>
          </w:tcPr>
          <w:p w14:paraId="3718027B">
            <w:pPr>
              <w:spacing w:line="360" w:lineRule="exact"/>
              <w:ind w:firstLine="0" w:firstLineChars="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沉湖湿地候鸟栖息地保护修复工程</w:t>
            </w:r>
          </w:p>
        </w:tc>
        <w:tc>
          <w:tcPr>
            <w:tcW w:w="3118" w:type="dxa"/>
            <w:vAlign w:val="center"/>
          </w:tcPr>
          <w:p w14:paraId="3EC763A8">
            <w:pPr>
              <w:spacing w:line="360" w:lineRule="exact"/>
              <w:ind w:firstLine="0" w:firstLineChars="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积极争取落实沉湖国际重要湿地生态系统保护和修复重大工程；开展植被恢复和野生动植物生境修复，实施水系连通工程，修复生态廊道，促进栖息地连通性</w:t>
            </w:r>
          </w:p>
        </w:tc>
        <w:tc>
          <w:tcPr>
            <w:tcW w:w="1276" w:type="dxa"/>
            <w:vAlign w:val="center"/>
          </w:tcPr>
          <w:p w14:paraId="58E7DD07">
            <w:pPr>
              <w:spacing w:line="360" w:lineRule="exact"/>
              <w:ind w:firstLine="0" w:firstLineChars="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2030年</w:t>
            </w:r>
          </w:p>
        </w:tc>
        <w:tc>
          <w:tcPr>
            <w:tcW w:w="1219" w:type="dxa"/>
            <w:vMerge w:val="continue"/>
            <w:vAlign w:val="center"/>
          </w:tcPr>
          <w:p w14:paraId="16B82D74">
            <w:pPr>
              <w:spacing w:line="360" w:lineRule="exact"/>
              <w:ind w:firstLine="0" w:firstLineChars="0"/>
              <w:rPr>
                <w:rFonts w:hint="default" w:ascii="Times New Roman" w:hAnsi="Times New Roman" w:cs="Times New Roman" w:eastAsiaTheme="minorEastAsia"/>
                <w:color w:val="auto"/>
              </w:rPr>
            </w:pPr>
          </w:p>
        </w:tc>
      </w:tr>
      <w:tr w14:paraId="729BD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14:paraId="148D2E64">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湖泊</w:t>
            </w:r>
          </w:p>
          <w:p w14:paraId="7D322345">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湿地</w:t>
            </w:r>
          </w:p>
          <w:p w14:paraId="1D532C91">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治理</w:t>
            </w:r>
          </w:p>
          <w:p w14:paraId="46F94FBB">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生态</w:t>
            </w:r>
          </w:p>
          <w:p w14:paraId="201EF801">
            <w:pPr>
              <w:spacing w:line="360" w:lineRule="exact"/>
              <w:ind w:firstLine="0" w:firstLineChars="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样板</w:t>
            </w:r>
          </w:p>
        </w:tc>
        <w:tc>
          <w:tcPr>
            <w:tcW w:w="1418" w:type="dxa"/>
            <w:vAlign w:val="center"/>
          </w:tcPr>
          <w:p w14:paraId="4B4BB826">
            <w:pPr>
              <w:spacing w:line="360" w:lineRule="exact"/>
              <w:ind w:firstLine="0" w:firstLineChars="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安山—上涉湖重要湿地保护修复工程</w:t>
            </w:r>
          </w:p>
        </w:tc>
        <w:tc>
          <w:tcPr>
            <w:tcW w:w="3118" w:type="dxa"/>
            <w:vAlign w:val="center"/>
          </w:tcPr>
          <w:p w14:paraId="6D9599A2">
            <w:pPr>
              <w:spacing w:line="360" w:lineRule="exact"/>
              <w:ind w:firstLine="0" w:firstLineChars="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开展外来入侵物种治理、退化湿地修复和珍稀候鸟栖息地保护，开展湿地岸线维护、水生态修复工程</w:t>
            </w:r>
          </w:p>
        </w:tc>
        <w:tc>
          <w:tcPr>
            <w:tcW w:w="1276" w:type="dxa"/>
            <w:vAlign w:val="center"/>
          </w:tcPr>
          <w:p w14:paraId="7DBEF240">
            <w:pPr>
              <w:spacing w:line="360" w:lineRule="exact"/>
              <w:ind w:firstLine="0" w:firstLineChars="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 w:val="24"/>
                <w:szCs w:val="24"/>
              </w:rPr>
              <w:t>2030年</w:t>
            </w:r>
          </w:p>
        </w:tc>
        <w:tc>
          <w:tcPr>
            <w:tcW w:w="1219" w:type="dxa"/>
            <w:vMerge w:val="restart"/>
            <w:vAlign w:val="center"/>
          </w:tcPr>
          <w:p w14:paraId="08EC081F">
            <w:pPr>
              <w:spacing w:line="360" w:lineRule="exact"/>
              <w:ind w:firstLine="0" w:firstLineChars="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江夏区</w:t>
            </w:r>
          </w:p>
          <w:p w14:paraId="461521CB">
            <w:pPr>
              <w:spacing w:line="360" w:lineRule="exact"/>
              <w:ind w:firstLine="0" w:firstLineChars="0"/>
              <w:rPr>
                <w:rFonts w:hint="default" w:ascii="Times New Roman" w:hAnsi="Times New Roman" w:cs="Times New Roman" w:eastAsiaTheme="minorEastAsia"/>
                <w:color w:val="auto"/>
                <w:sz w:val="24"/>
                <w:szCs w:val="24"/>
              </w:rPr>
            </w:pPr>
          </w:p>
        </w:tc>
      </w:tr>
      <w:tr w14:paraId="40A1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3E32AC8E">
            <w:pPr>
              <w:spacing w:line="360" w:lineRule="exact"/>
              <w:ind w:firstLine="0" w:firstLineChars="0"/>
              <w:jc w:val="center"/>
              <w:rPr>
                <w:rFonts w:hint="default" w:ascii="Times New Roman" w:hAnsi="Times New Roman" w:cs="Times New Roman" w:eastAsiaTheme="minorEastAsia"/>
                <w:color w:val="auto"/>
                <w:sz w:val="24"/>
                <w:szCs w:val="24"/>
              </w:rPr>
            </w:pPr>
          </w:p>
        </w:tc>
        <w:tc>
          <w:tcPr>
            <w:tcW w:w="1418" w:type="dxa"/>
            <w:vAlign w:val="center"/>
          </w:tcPr>
          <w:p w14:paraId="39DFBD22">
            <w:pPr>
              <w:spacing w:line="360" w:lineRule="exact"/>
              <w:ind w:firstLine="0" w:firstLineChars="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金水流域湖泊湿地保护修复工程</w:t>
            </w:r>
          </w:p>
        </w:tc>
        <w:tc>
          <w:tcPr>
            <w:tcW w:w="3118" w:type="dxa"/>
            <w:vAlign w:val="center"/>
          </w:tcPr>
          <w:p w14:paraId="3E2C90C0">
            <w:pPr>
              <w:spacing w:line="360" w:lineRule="exact"/>
              <w:ind w:firstLine="0" w:firstLineChars="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开展金水七湖两港湖泊形态及生态治理工程，鲁湖水系连通工程与生态缓冲带建设，实施斧</w:t>
            </w:r>
            <w:r>
              <w:rPr>
                <w:rFonts w:hint="default" w:ascii="Times New Roman" w:hAnsi="Times New Roman" w:cs="Times New Roman" w:eastAsiaTheme="minorEastAsia"/>
                <w:color w:val="auto"/>
                <w:sz w:val="24"/>
                <w:szCs w:val="24"/>
                <w:lang w:eastAsia="zh-CN"/>
              </w:rPr>
              <w:t>头</w:t>
            </w:r>
            <w:r>
              <w:rPr>
                <w:rFonts w:hint="default" w:ascii="Times New Roman" w:hAnsi="Times New Roman" w:cs="Times New Roman" w:eastAsiaTheme="minorEastAsia"/>
                <w:color w:val="auto"/>
                <w:sz w:val="24"/>
                <w:szCs w:val="24"/>
              </w:rPr>
              <w:t>湖水生植被群落构建，开展水草打捞和外来物种风险防控</w:t>
            </w:r>
          </w:p>
        </w:tc>
        <w:tc>
          <w:tcPr>
            <w:tcW w:w="1276" w:type="dxa"/>
            <w:vAlign w:val="center"/>
          </w:tcPr>
          <w:p w14:paraId="0FBF4F99">
            <w:pPr>
              <w:spacing w:line="360" w:lineRule="exact"/>
              <w:ind w:firstLine="0" w:firstLineChars="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2035年</w:t>
            </w:r>
          </w:p>
        </w:tc>
        <w:tc>
          <w:tcPr>
            <w:tcW w:w="1219" w:type="dxa"/>
            <w:vMerge w:val="continue"/>
            <w:vAlign w:val="center"/>
          </w:tcPr>
          <w:p w14:paraId="793624CE">
            <w:pPr>
              <w:spacing w:line="360" w:lineRule="exact"/>
              <w:ind w:firstLine="0" w:firstLineChars="0"/>
              <w:rPr>
                <w:rFonts w:hint="default" w:ascii="Times New Roman" w:hAnsi="Times New Roman" w:cs="Times New Roman" w:eastAsiaTheme="minorEastAsia"/>
                <w:color w:val="auto"/>
                <w:sz w:val="24"/>
                <w:szCs w:val="24"/>
              </w:rPr>
            </w:pPr>
          </w:p>
        </w:tc>
      </w:tr>
    </w:tbl>
    <w:p w14:paraId="1FB1BC7E">
      <w:pPr>
        <w:ind w:firstLine="0" w:firstLineChars="0"/>
        <w:rPr>
          <w:rFonts w:hint="default" w:ascii="Times New Roman" w:hAnsi="Times New Roman" w:cs="Times New Roman"/>
          <w:color w:val="auto"/>
        </w:rPr>
      </w:pPr>
    </w:p>
    <w:p w14:paraId="43AE90A5">
      <w:pPr>
        <w:pStyle w:val="3"/>
        <w:ind w:firstLine="640"/>
        <w:rPr>
          <w:rFonts w:hint="default" w:ascii="Times New Roman" w:hAnsi="Times New Roman" w:cs="Times New Roman"/>
          <w:color w:val="auto"/>
        </w:rPr>
      </w:pPr>
      <w:r>
        <w:rPr>
          <w:rFonts w:hint="default" w:ascii="Times New Roman" w:hAnsi="Times New Roman" w:cs="Times New Roman"/>
          <w:color w:val="auto"/>
        </w:rPr>
        <w:br w:type="page"/>
      </w:r>
    </w:p>
    <w:p w14:paraId="5D0B0C26">
      <w:pPr>
        <w:pStyle w:val="43"/>
        <w:spacing w:after="218"/>
        <w:jc w:val="both"/>
        <w:rPr>
          <w:rFonts w:hint="default" w:ascii="Times New Roman" w:hAnsi="Times New Roman" w:cs="Times New Roman"/>
          <w:b w:val="0"/>
          <w:bCs w:val="0"/>
          <w:color w:val="auto"/>
          <w:sz w:val="32"/>
        </w:rPr>
      </w:pPr>
      <w:bookmarkStart w:id="362" w:name="_Toc194476156"/>
      <w:r>
        <w:rPr>
          <w:rFonts w:hint="default" w:ascii="Times New Roman" w:hAnsi="Times New Roman" w:cs="Times New Roman"/>
          <w:b w:val="0"/>
          <w:bCs w:val="0"/>
          <w:color w:val="auto"/>
          <w:sz w:val="32"/>
        </w:rPr>
        <w:t>附图</w:t>
      </w:r>
      <w:bookmarkEnd w:id="362"/>
    </w:p>
    <w:p w14:paraId="289E1EF1">
      <w:pPr>
        <w:pStyle w:val="3"/>
        <w:ind w:firstLine="0" w:firstLineChars="0"/>
        <w:jc w:val="center"/>
        <w:rPr>
          <w:rFonts w:hint="default" w:ascii="Times New Roman" w:hAnsi="Times New Roman" w:cs="Times New Roman"/>
          <w:color w:val="auto"/>
        </w:rPr>
      </w:pPr>
      <w:r>
        <w:rPr>
          <w:rFonts w:hint="default" w:ascii="Times New Roman" w:hAnsi="Times New Roman" w:eastAsia="Times New Roman" w:cs="Times New Roman"/>
          <w:snapToGrid w:val="0"/>
          <w:color w:val="auto"/>
          <w:w w:val="0"/>
          <w:kern w:val="0"/>
          <w:sz w:val="0"/>
          <w:szCs w:val="0"/>
          <w:u w:color="000000"/>
          <w:shd w:val="clear" w:color="000000" w:fill="000000"/>
          <w:lang w:val="zh-CN" w:bidi="zh-CN"/>
        </w:rPr>
        <w:t xml:space="preserve"> </w:t>
      </w:r>
      <w:r>
        <w:rPr>
          <w:rFonts w:hint="default" w:ascii="Times New Roman" w:hAnsi="Times New Roman" w:cs="Times New Roman"/>
          <w:color w:val="auto"/>
        </w:rPr>
        <w:drawing>
          <wp:inline distT="0" distB="0" distL="0" distR="0">
            <wp:extent cx="5278120" cy="7465695"/>
            <wp:effectExtent l="0" t="0" r="0" b="1905"/>
            <wp:docPr id="1" name="图片 1" descr="C:\Users\gexiaomin18\Documents\WeChat Files\wxid_h88alwlyo3ad22\FileStorage\Temp\1916f277d346adfde927d36c89ae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gexiaomin18\Documents\WeChat Files\wxid_h88alwlyo3ad22\FileStorage\Temp\1916f277d346adfde927d36c89ae4d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8120" cy="7465986"/>
                    </a:xfrm>
                    <a:prstGeom prst="rect">
                      <a:avLst/>
                    </a:prstGeom>
                    <a:noFill/>
                    <a:ln>
                      <a:noFill/>
                    </a:ln>
                  </pic:spPr>
                </pic:pic>
              </a:graphicData>
            </a:graphic>
          </wp:inline>
        </w:drawing>
      </w:r>
    </w:p>
    <w:p w14:paraId="7EA5D8DA">
      <w:pPr>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附图1 武汉市主要水系分布图</w:t>
      </w:r>
    </w:p>
    <w:p w14:paraId="398136FC">
      <w:pPr>
        <w:pStyle w:val="3"/>
        <w:ind w:firstLine="640"/>
        <w:rPr>
          <w:rFonts w:hint="default" w:ascii="Times New Roman" w:hAnsi="Times New Roman" w:cs="Times New Roman"/>
          <w:color w:val="auto"/>
        </w:rPr>
      </w:pPr>
      <w:r>
        <w:rPr>
          <w:rFonts w:hint="default" w:ascii="Times New Roman" w:hAnsi="Times New Roman" w:cs="Times New Roman"/>
          <w:color w:val="auto"/>
        </w:rPr>
        <w:br w:type="page"/>
      </w:r>
    </w:p>
    <w:p w14:paraId="7397885B">
      <w:pPr>
        <w:ind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274310" cy="7459345"/>
            <wp:effectExtent l="0" t="0" r="2540" b="8255"/>
            <wp:docPr id="4" name="图片 4" descr="D:\2021年\2023年工作\横向项目\武汉市生多保护规划项目-202306\武汉规划有关成果材料-241012\2025年3月份调研座谈材料\文本图片更新0324\武汉市规划图集6-202503\4 生态系统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2021年\2023年工作\横向项目\武汉市生多保护规划项目-202306\武汉规划有关成果材料-241012\2025年3月份调研座谈材料\文本图片更新0324\武汉市规划图集6-202503\4 生态系统图.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7459761"/>
                    </a:xfrm>
                    <a:prstGeom prst="rect">
                      <a:avLst/>
                    </a:prstGeom>
                    <a:noFill/>
                    <a:ln>
                      <a:noFill/>
                    </a:ln>
                  </pic:spPr>
                </pic:pic>
              </a:graphicData>
            </a:graphic>
          </wp:inline>
        </w:drawing>
      </w:r>
    </w:p>
    <w:p w14:paraId="44C57CBC">
      <w:pPr>
        <w:widowControl/>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附图2 武汉市生态系统类型分布图</w:t>
      </w:r>
      <w:r>
        <w:rPr>
          <w:rFonts w:hint="default" w:ascii="Times New Roman" w:hAnsi="Times New Roman" w:cs="Times New Roman"/>
          <w:color w:val="auto"/>
        </w:rPr>
        <w:br w:type="page"/>
      </w:r>
    </w:p>
    <w:p w14:paraId="3AA18627">
      <w:pPr>
        <w:ind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274310" cy="7459980"/>
            <wp:effectExtent l="0" t="0" r="25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7459980"/>
                    </a:xfrm>
                    <a:prstGeom prst="rect">
                      <a:avLst/>
                    </a:prstGeom>
                    <a:noFill/>
                    <a:ln>
                      <a:noFill/>
                    </a:ln>
                  </pic:spPr>
                </pic:pic>
              </a:graphicData>
            </a:graphic>
          </wp:inline>
        </w:drawing>
      </w:r>
    </w:p>
    <w:p w14:paraId="7228E58C">
      <w:pPr>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附图3 武汉市自然保护地分布图</w:t>
      </w:r>
    </w:p>
    <w:p w14:paraId="21A92419">
      <w:pPr>
        <w:pStyle w:val="3"/>
        <w:ind w:firstLine="640"/>
        <w:rPr>
          <w:rFonts w:hint="default" w:ascii="Times New Roman" w:hAnsi="Times New Roman" w:cs="Times New Roman"/>
          <w:color w:val="auto"/>
        </w:rPr>
      </w:pPr>
      <w:r>
        <w:rPr>
          <w:rFonts w:hint="default" w:ascii="Times New Roman" w:hAnsi="Times New Roman" w:cs="Times New Roman"/>
          <w:color w:val="auto"/>
        </w:rPr>
        <w:br w:type="page"/>
      </w:r>
    </w:p>
    <w:p w14:paraId="7093AE75">
      <w:pPr>
        <w:ind w:firstLine="0" w:firstLineChars="0"/>
        <w:jc w:val="center"/>
        <w:rPr>
          <w:rFonts w:hint="default" w:ascii="Times New Roman" w:hAnsi="Times New Roman" w:cs="Times New Roman"/>
          <w:color w:val="auto"/>
          <w:szCs w:val="32"/>
        </w:rPr>
      </w:pPr>
      <w:r>
        <w:rPr>
          <w:rFonts w:hint="default" w:ascii="Times New Roman" w:hAnsi="Times New Roman" w:cs="Times New Roman"/>
          <w:color w:val="auto"/>
          <w:szCs w:val="32"/>
        </w:rPr>
        <w:drawing>
          <wp:inline distT="0" distB="0" distL="0" distR="0">
            <wp:extent cx="5278120" cy="7461250"/>
            <wp:effectExtent l="0" t="0" r="0" b="6350"/>
            <wp:docPr id="6" name="图片 6" descr="C:\Users\gexiaomin18\Documents\WeChat Files\wxid_h88alwlyo3ad22\FileStorage\Temp\534e7d733a35c81023174726322e2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gexiaomin18\Documents\WeChat Files\wxid_h88alwlyo3ad22\FileStorage\Temp\534e7d733a35c81023174726322e2c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8120" cy="7461754"/>
                    </a:xfrm>
                    <a:prstGeom prst="rect">
                      <a:avLst/>
                    </a:prstGeom>
                    <a:noFill/>
                    <a:ln>
                      <a:noFill/>
                    </a:ln>
                  </pic:spPr>
                </pic:pic>
              </a:graphicData>
            </a:graphic>
          </wp:inline>
        </w:drawing>
      </w:r>
    </w:p>
    <w:p w14:paraId="063EFF5B">
      <w:pPr>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附图4 武汉市生物多样性保护优先区域空间分布图</w:t>
      </w:r>
    </w:p>
    <w:p w14:paraId="04F1A168">
      <w:pPr>
        <w:keepNext w:val="0"/>
        <w:keepLines w:val="0"/>
        <w:pageBreakBefore w:val="0"/>
        <w:widowControl w:val="0"/>
        <w:kinsoku/>
        <w:wordWrap/>
        <w:overflowPunct/>
        <w:topLinePunct w:val="0"/>
        <w:autoSpaceDE/>
        <w:autoSpaceDN/>
        <w:bidi w:val="0"/>
        <w:rPr>
          <w:rFonts w:hint="default"/>
        </w:rPr>
      </w:pPr>
    </w:p>
    <w:p w14:paraId="535566CC">
      <w:pPr>
        <w:keepNext w:val="0"/>
        <w:keepLines w:val="0"/>
        <w:pageBreakBefore w:val="0"/>
        <w:widowControl w:val="0"/>
        <w:kinsoku/>
        <w:wordWrap/>
        <w:overflowPunct/>
        <w:topLinePunct w:val="0"/>
        <w:autoSpaceDE/>
        <w:autoSpaceDN/>
        <w:bidi w:val="0"/>
        <w:adjustRightInd w:val="0"/>
        <w:snapToGrid w:val="0"/>
        <w:spacing w:after="0" w:line="500" w:lineRule="exact"/>
        <w:ind w:firstLine="280" w:firstLineChars="100"/>
        <w:jc w:val="left"/>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mc:AlternateContent>
          <mc:Choice Requires="wps">
            <w:drawing>
              <wp:anchor distT="0" distB="0" distL="114300" distR="114300" simplePos="0" relativeHeight="251661312" behindDoc="0" locked="0" layoutInCell="1" allowOverlap="1">
                <wp:simplePos x="0" y="0"/>
                <wp:positionH relativeFrom="column">
                  <wp:posOffset>-10160</wp:posOffset>
                </wp:positionH>
                <wp:positionV relativeFrom="paragraph">
                  <wp:posOffset>370205</wp:posOffset>
                </wp:positionV>
                <wp:extent cx="5394960" cy="11430"/>
                <wp:effectExtent l="0" t="4445" r="15240" b="12700"/>
                <wp:wrapNone/>
                <wp:docPr id="2" name="直线 3"/>
                <wp:cNvGraphicFramePr/>
                <a:graphic xmlns:a="http://schemas.openxmlformats.org/drawingml/2006/main">
                  <a:graphicData uri="http://schemas.microsoft.com/office/word/2010/wordprocessingShape">
                    <wps:wsp>
                      <wps:cNvCnPr/>
                      <wps:spPr>
                        <a:xfrm flipV="1">
                          <a:off x="0" y="0"/>
                          <a:ext cx="5394960" cy="11430"/>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直线 3" o:spid="_x0000_s1026" o:spt="20" style="position:absolute;left:0pt;flip:y;margin-left:-0.8pt;margin-top:29.15pt;height:0.9pt;width:424.8pt;z-index:251661312;mso-width-relative:page;mso-height-relative:page;" filled="f" stroked="t" coordsize="21600,21600" o:gfxdata="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NSd6s1gAAAAgBAAAPAAAAAAAAAAEAIAAAACIAAABkcnMvZG93bnJldi54bWxQSwEC&#10;FAAUAAAACACHTuJAca/e/PYBAAD1AwAADgAAAAAAAAABACAAAAAlAQAAZHJzL2Uyb0RvYy54bWxQ&#10;SwUGAAAAAAYABgBZAQAAjQUAAAAA&#10;">
                <v:fill on="f" focussize="0,0"/>
                <v:stroke color="#000000" joinstyle="round"/>
                <v:imagedata o:title=""/>
                <o:lock v:ext="edit" aspectratio="f"/>
              </v:line>
            </w:pict>
          </mc:Fallback>
        </mc:AlternateContent>
      </w:r>
      <w:r>
        <w:rPr>
          <w:rFonts w:hint="default" w:ascii="Times New Roman" w:hAnsi="Times New Roman" w:eastAsia="仿宋_GB2312" w:cs="Times New Roman"/>
          <w:sz w:val="28"/>
          <w:szCs w:val="28"/>
        </w:rPr>
        <mc:AlternateContent>
          <mc:Choice Requires="wps">
            <w:drawing>
              <wp:anchor distT="0" distB="0" distL="114300" distR="114300" simplePos="0" relativeHeight="251660288" behindDoc="0" locked="0" layoutInCell="1" allowOverlap="1">
                <wp:simplePos x="0" y="0"/>
                <wp:positionH relativeFrom="column">
                  <wp:posOffset>-10160</wp:posOffset>
                </wp:positionH>
                <wp:positionV relativeFrom="paragraph">
                  <wp:posOffset>-5715</wp:posOffset>
                </wp:positionV>
                <wp:extent cx="5394960" cy="11430"/>
                <wp:effectExtent l="0" t="4445" r="15240" b="12700"/>
                <wp:wrapNone/>
                <wp:docPr id="1026" name="直线 3"/>
                <wp:cNvGraphicFramePr/>
                <a:graphic xmlns:a="http://schemas.openxmlformats.org/drawingml/2006/main">
                  <a:graphicData uri="http://schemas.microsoft.com/office/word/2010/wordprocessingShape">
                    <wps:wsp>
                      <wps:cNvCnPr/>
                      <wps:spPr>
                        <a:xfrm flipV="1">
                          <a:off x="0" y="0"/>
                          <a:ext cx="5394960" cy="11430"/>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直线 3" o:spid="_x0000_s1026" o:spt="20" style="position:absolute;left:0pt;flip:y;margin-left:-0.8pt;margin-top:-0.45pt;height:0.9pt;width:424.8pt;z-index:251660288;mso-width-relative:page;mso-height-relative:page;" filled="f" stroked="t" coordsize="21600,21600" o:gfxdata="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4y1sd1AAAAAUBAAAPAAAAAAAAAAEAIAAAACIAAABkcnMvZG93bnJldi54bWxQSwEC&#10;FAAUAAAACACHTuJAVBC4VPgBAAD4AwAADgAAAAAAAAABACAAAAAjAQAAZHJzL2Uyb0RvYy54bWxQ&#10;SwUGAAAAAAYABgBZAQAAjQUAAAAA&#10;">
                <v:fill on="f" focussize="0,0"/>
                <v:stroke color="#000000" joinstyle="round"/>
                <v:imagedata o:title=""/>
                <o:lock v:ext="edit" aspectratio="f"/>
              </v:line>
            </w:pict>
          </mc:Fallback>
        </mc:AlternateContent>
      </w:r>
      <w:r>
        <w:rPr>
          <w:rFonts w:hint="default" w:ascii="Times New Roman" w:hAnsi="Times New Roman" w:eastAsia="仿宋_GB2312" w:cs="Times New Roman"/>
          <w:sz w:val="28"/>
          <w:szCs w:val="28"/>
        </w:rPr>
        <w:t>武汉市生态环境局办公室</w:t>
      </w:r>
      <w:r>
        <w:rPr>
          <w:rFonts w:hint="default" w:ascii="Times New Roman" w:hAnsi="Times New Roman" w:cs="Times New Roman"/>
          <w:szCs w:val="20"/>
        </w:rPr>
        <w:t xml:space="preserve">       </w:t>
      </w:r>
      <w:r>
        <w:rPr>
          <w:rFonts w:hint="default" w:ascii="Times New Roman" w:hAnsi="Times New Roman" w:cs="Times New Roman"/>
          <w:szCs w:val="20"/>
          <w:lang w:val="en-US" w:eastAsia="zh-CN"/>
        </w:rPr>
        <w:t xml:space="preserve">    </w:t>
      </w:r>
      <w:r>
        <w:rPr>
          <w:rFonts w:hint="default" w:ascii="Times New Roman" w:hAnsi="Times New Roman" w:cs="Times New Roman"/>
          <w:szCs w:val="20"/>
        </w:rPr>
        <w:t xml:space="preserve">  </w:t>
      </w:r>
      <w:r>
        <w:rPr>
          <w:rFonts w:hint="default" w:ascii="Times New Roman" w:hAnsi="Times New Roman" w:eastAsia="仿宋_GB2312" w:cs="Times New Roman"/>
          <w:sz w:val="28"/>
          <w:szCs w:val="28"/>
        </w:rPr>
        <w:t>2025年</w:t>
      </w:r>
      <w:r>
        <w:rPr>
          <w:rFonts w:hint="eastAsia" w:ascii="Times New Roman" w:hAnsi="Times New Roman" w:cs="Times New Roman"/>
          <w:sz w:val="28"/>
          <w:szCs w:val="28"/>
          <w:lang w:val="en-US" w:eastAsia="zh-CN"/>
        </w:rPr>
        <w:t>10</w:t>
      </w:r>
      <w:r>
        <w:rPr>
          <w:rFonts w:hint="default" w:ascii="Times New Roman" w:hAnsi="Times New Roman" w:eastAsia="仿宋_GB2312" w:cs="Times New Roman"/>
          <w:sz w:val="28"/>
          <w:szCs w:val="28"/>
        </w:rPr>
        <w:t>月</w:t>
      </w:r>
      <w:r>
        <w:rPr>
          <w:rFonts w:hint="eastAsia" w:ascii="Times New Roman" w:hAnsi="Times New Roman" w:cs="Times New Roman"/>
          <w:sz w:val="28"/>
          <w:szCs w:val="28"/>
          <w:lang w:val="en-US" w:eastAsia="zh-CN"/>
        </w:rPr>
        <w:t>11</w:t>
      </w:r>
      <w:r>
        <w:rPr>
          <w:rFonts w:hint="default" w:ascii="Times New Roman" w:hAnsi="Times New Roman" w:eastAsia="仿宋_GB2312" w:cs="Times New Roman"/>
          <w:sz w:val="28"/>
          <w:szCs w:val="28"/>
        </w:rPr>
        <w:t>日印发</w:t>
      </w:r>
    </w:p>
    <w:sectPr>
      <w:footerReference r:id="rId14" w:type="default"/>
      <w:pgSz w:w="11900" w:h="16838"/>
      <w:pgMar w:top="1440" w:right="1803" w:bottom="1440" w:left="1803" w:header="851" w:footer="992" w:gutter="0"/>
      <w:pgNumType w:fmt="numberInDash"/>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58FD3E5-FB77-4B41-ABB8-91257DCB73E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DB48274-41A5-4D27-B7D3-AD7589997D8C}"/>
  </w:font>
  <w:font w:name="仿宋_GB2312">
    <w:panose1 w:val="02010609030101010101"/>
    <w:charset w:val="86"/>
    <w:family w:val="modern"/>
    <w:pitch w:val="default"/>
    <w:sig w:usb0="00000001" w:usb1="080E0000" w:usb2="00000000" w:usb3="00000000" w:csb0="00040000" w:csb1="00000000"/>
    <w:embedRegular r:id="rId3" w:fontKey="{1CB29523-4C95-4F68-9122-8E413D823FA6}"/>
  </w:font>
  <w:font w:name="华文中宋">
    <w:panose1 w:val="02010600040101010101"/>
    <w:charset w:val="86"/>
    <w:family w:val="auto"/>
    <w:pitch w:val="default"/>
    <w:sig w:usb0="00000287" w:usb1="080F0000" w:usb2="00000000" w:usb3="00000000" w:csb0="0004009F" w:csb1="DFD70000"/>
    <w:embedRegular r:id="rId4" w:fontKey="{5ED89FB4-76A1-4F7A-872F-ABC5FBCEFC39}"/>
  </w:font>
  <w:font w:name="楷体_GB2312">
    <w:panose1 w:val="02010609030101010101"/>
    <w:charset w:val="86"/>
    <w:family w:val="modern"/>
    <w:pitch w:val="default"/>
    <w:sig w:usb0="00000001" w:usb1="080E0000" w:usb2="00000000" w:usb3="00000000" w:csb0="00040000" w:csb1="00000000"/>
    <w:embedRegular r:id="rId5" w:fontKey="{96A77E59-B8C0-4F29-971B-ACB31BD214F7}"/>
  </w:font>
  <w:font w:name="仿宋">
    <w:panose1 w:val="02010609060101010101"/>
    <w:charset w:val="86"/>
    <w:family w:val="auto"/>
    <w:pitch w:val="default"/>
    <w:sig w:usb0="800002BF" w:usb1="38CF7CFA" w:usb2="00000016" w:usb3="00000000" w:csb0="00040001" w:csb1="00000000"/>
    <w:embedRegular r:id="rId6" w:fontKey="{EBF7188C-9847-4E13-B27F-4B5B85F3EE24}"/>
  </w:font>
  <w:font w:name="方正小标宋简体">
    <w:panose1 w:val="02010600010101010101"/>
    <w:charset w:val="86"/>
    <w:family w:val="auto"/>
    <w:pitch w:val="default"/>
    <w:sig w:usb0="00000001" w:usb1="080E0000" w:usb2="00000000" w:usb3="00000000" w:csb0="00040000" w:csb1="00000000"/>
    <w:embedRegular r:id="rId7" w:fontKey="{0909B961-0A9E-4F68-9BCC-6776697B120D}"/>
  </w:font>
  <w:font w:name="Calibri Light">
    <w:panose1 w:val="020F03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embedRegular r:id="rId8" w:fontKey="{3EB1BE23-4AFF-4FD2-9769-75571CD5782A}"/>
  </w:font>
  <w:font w:name="微软雅黑">
    <w:panose1 w:val="020B0503020204020204"/>
    <w:charset w:val="86"/>
    <w:family w:val="swiss"/>
    <w:pitch w:val="default"/>
    <w:sig w:usb0="80000287" w:usb1="2ACF3C50" w:usb2="00000016" w:usb3="00000000" w:csb0="0004001F" w:csb1="00000000"/>
    <w:embedRegular r:id="rId9" w:fontKey="{69F09D11-B354-4CDA-903B-F5DB2B7F029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A40C0">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DEFF0">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64B54">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6DA32">
    <w:pPr>
      <w:pStyle w:val="1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06C08">
    <w:pPr>
      <w:pStyle w:val="16"/>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DCB0A">
    <w:pPr>
      <w:pStyle w:val="16"/>
      <w:ind w:firstLine="360"/>
      <w:rPr>
        <w:snapToGrid w:val="0"/>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707D2B">
                          <w:pPr>
                            <w:pStyle w:val="16"/>
                            <w:ind w:firstLine="360"/>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71</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1707D2B">
                    <w:pPr>
                      <w:pStyle w:val="16"/>
                      <w:ind w:firstLine="360"/>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71</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63EDA">
    <w:pPr>
      <w:pStyle w:val="16"/>
      <w:ind w:right="36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6BB3B5">
                          <w:pPr>
                            <w:pStyle w:val="16"/>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6D6BB3B5">
                    <w:pPr>
                      <w:pStyle w:val="16"/>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pPr>
        <w:ind w:firstLine="640"/>
      </w:pPr>
      <w:r>
        <w:separator/>
      </w:r>
    </w:p>
  </w:footnote>
  <w:footnote w:type="continuationSeparator" w:id="21">
    <w:p>
      <w:pPr>
        <w:ind w:firstLine="640"/>
      </w:pPr>
      <w:r>
        <w:continuationSeparator/>
      </w:r>
    </w:p>
  </w:footnote>
  <w:footnote w:id="0">
    <w:p w14:paraId="715671D0">
      <w:pPr>
        <w:pStyle w:val="21"/>
        <w:ind w:firstLine="360"/>
      </w:pPr>
      <w:r>
        <w:rPr>
          <w:rStyle w:val="32"/>
        </w:rPr>
        <w:footnoteRef/>
      </w:r>
      <w:r>
        <w:rPr>
          <w:rFonts w:hint="eastAsia"/>
        </w:rPr>
        <w:t>参考《</w:t>
      </w:r>
      <w:bookmarkStart w:id="363" w:name="OLE_LINK16"/>
      <w:bookmarkStart w:id="364" w:name="OLE_LINK26"/>
      <w:r>
        <w:rPr>
          <w:rFonts w:hint="eastAsia"/>
        </w:rPr>
        <w:t>武汉市</w:t>
      </w:r>
      <w:r>
        <w:t>国土空间总体规划（</w:t>
      </w:r>
      <w:r>
        <w:rPr>
          <w:rFonts w:hint="eastAsia"/>
        </w:rPr>
        <w:t>2021-203</w:t>
      </w:r>
      <w:r>
        <w:t>5</w:t>
      </w:r>
      <w:r>
        <w:rPr>
          <w:rFonts w:hint="eastAsia"/>
        </w:rPr>
        <w:t>年</w:t>
      </w:r>
      <w:r>
        <w:t>）</w:t>
      </w:r>
      <w:bookmarkEnd w:id="363"/>
      <w:bookmarkEnd w:id="364"/>
      <w:r>
        <w:rPr>
          <w:rFonts w:hint="eastAsia"/>
        </w:rPr>
        <w:t>》（国务院</w:t>
      </w:r>
      <w:r>
        <w:t>批复</w:t>
      </w:r>
      <w:r>
        <w:rPr>
          <w:rFonts w:hint="eastAsia"/>
        </w:rPr>
        <w:t>稿）。</w:t>
      </w:r>
    </w:p>
  </w:footnote>
  <w:footnote w:id="1">
    <w:p w14:paraId="0CE36714">
      <w:pPr>
        <w:pStyle w:val="21"/>
        <w:ind w:firstLine="360"/>
      </w:pPr>
      <w:r>
        <w:rPr>
          <w:rStyle w:val="32"/>
        </w:rPr>
        <w:footnoteRef/>
      </w:r>
      <w:r>
        <w:rPr>
          <w:rFonts w:hint="eastAsia"/>
        </w:rPr>
        <w:t>参考武汉市生态环境局“武汉市生物多样性”政务公开信息。</w:t>
      </w:r>
    </w:p>
  </w:footnote>
  <w:footnote w:id="2">
    <w:p w14:paraId="575325E0">
      <w:pPr>
        <w:pStyle w:val="21"/>
        <w:ind w:firstLine="360"/>
      </w:pPr>
      <w:r>
        <w:rPr>
          <w:rStyle w:val="32"/>
        </w:rPr>
        <w:footnoteRef/>
      </w:r>
      <w:r>
        <w:t xml:space="preserve"> </w:t>
      </w:r>
      <w:r>
        <w:rPr>
          <w:rFonts w:hint="eastAsia"/>
        </w:rPr>
        <w:t>自然保护地信息</w:t>
      </w:r>
      <w:r>
        <w:t>以</w:t>
      </w:r>
      <w:r>
        <w:rPr>
          <w:rFonts w:hint="eastAsia"/>
        </w:rPr>
        <w:t>最终批复的《武汉市自然保护地整合优化方案》</w:t>
      </w:r>
      <w:r>
        <w:t>数据为准。</w:t>
      </w:r>
    </w:p>
  </w:footnote>
  <w:footnote w:id="3">
    <w:p w14:paraId="22AFEBCC">
      <w:pPr>
        <w:pStyle w:val="21"/>
        <w:ind w:firstLine="360"/>
      </w:pPr>
      <w:r>
        <w:rPr>
          <w:rStyle w:val="32"/>
        </w:rPr>
        <w:footnoteRef/>
      </w:r>
      <w:r>
        <w:rPr>
          <w:rFonts w:hint="eastAsia"/>
        </w:rPr>
        <w:t>物种丰富度指数和重点物种保护指数参考国家生态环境标准《生物多样性保护评价标准（试行）》（尚未发布）；</w:t>
      </w:r>
    </w:p>
  </w:footnote>
  <w:footnote w:id="4">
    <w:p w14:paraId="113768C7">
      <w:pPr>
        <w:pStyle w:val="21"/>
        <w:ind w:firstLine="360"/>
      </w:pPr>
      <w:r>
        <w:rPr>
          <w:rStyle w:val="32"/>
        </w:rPr>
        <w:footnoteRef/>
      </w:r>
      <w:r>
        <w:rPr>
          <w:rFonts w:hint="eastAsia"/>
        </w:rPr>
        <w:t>湿地保有量</w:t>
      </w:r>
      <w:r>
        <w:t>（</w:t>
      </w:r>
      <w:r>
        <w:rPr>
          <w:rFonts w:hint="eastAsia"/>
        </w:rPr>
        <w:t>平方千米</w:t>
      </w:r>
      <w:r>
        <w:t>）</w:t>
      </w:r>
      <w:r>
        <w:rPr>
          <w:rFonts w:hint="eastAsia"/>
        </w:rPr>
        <w:t>：基准数据和目标数据来源于《武汉市湿地保护</w:t>
      </w:r>
      <w:r>
        <w:t>与利用发展</w:t>
      </w:r>
      <w:r>
        <w:rPr>
          <w:rFonts w:hint="eastAsia"/>
        </w:rPr>
        <w:t>规划（202</w:t>
      </w:r>
      <w:r>
        <w:t>5</w:t>
      </w:r>
      <w:r>
        <w:rPr>
          <w:rFonts w:hint="eastAsia"/>
        </w:rPr>
        <w:t>-2035年）》；</w:t>
      </w:r>
    </w:p>
  </w:footnote>
  <w:footnote w:id="5">
    <w:p w14:paraId="4645FD55">
      <w:pPr>
        <w:pStyle w:val="21"/>
        <w:ind w:firstLine="360"/>
      </w:pPr>
      <w:r>
        <w:rPr>
          <w:rStyle w:val="32"/>
        </w:rPr>
        <w:footnoteRef/>
      </w:r>
      <w:r>
        <w:rPr>
          <w:rFonts w:hint="eastAsia"/>
        </w:rPr>
        <w:t>森林</w:t>
      </w:r>
      <w:r>
        <w:t>覆盖率</w:t>
      </w:r>
      <w:r>
        <w:rPr>
          <w:rFonts w:hint="eastAsia"/>
        </w:rPr>
        <w:t>（%）</w:t>
      </w:r>
      <w:r>
        <w:t>和</w:t>
      </w:r>
      <w:r>
        <w:rPr>
          <w:rFonts w:hint="eastAsia"/>
        </w:rPr>
        <w:t>生态保护红线面积（平方千米）：</w:t>
      </w:r>
      <w:bookmarkStart w:id="365" w:name="OLE_LINK69"/>
      <w:r>
        <w:rPr>
          <w:rFonts w:hint="eastAsia"/>
        </w:rPr>
        <w:t>基准数据和</w:t>
      </w:r>
      <w:r>
        <w:t>目标数据</w:t>
      </w:r>
      <w:r>
        <w:rPr>
          <w:rFonts w:hint="eastAsia"/>
        </w:rPr>
        <w:t>来源于《武汉市国土空间总体规划（2021-2035年）》</w:t>
      </w:r>
      <w:bookmarkEnd w:id="365"/>
      <w:r>
        <w:rPr>
          <w:rFonts w:hint="eastAsia"/>
        </w:rPr>
        <w:t>（国务院</w:t>
      </w:r>
      <w:r>
        <w:t>批复稿</w:t>
      </w:r>
      <w:r>
        <w:rPr>
          <w:rFonts w:hint="eastAsia"/>
        </w:rPr>
        <w:t>）；</w:t>
      </w:r>
    </w:p>
  </w:footnote>
  <w:footnote w:id="6">
    <w:p w14:paraId="17DE4AF8">
      <w:pPr>
        <w:pStyle w:val="21"/>
        <w:ind w:firstLine="360"/>
      </w:pPr>
      <w:r>
        <w:rPr>
          <w:rStyle w:val="32"/>
        </w:rPr>
        <w:footnoteRef/>
      </w:r>
      <w:r>
        <w:rPr>
          <w:rFonts w:hint="eastAsia"/>
        </w:rPr>
        <w:t>建成区绿地率（%）：基准数据来源于市园林和林业局；</w:t>
      </w:r>
    </w:p>
  </w:footnote>
  <w:footnote w:id="7">
    <w:p w14:paraId="29E680EF">
      <w:pPr>
        <w:pStyle w:val="21"/>
        <w:ind w:firstLine="360"/>
      </w:pPr>
      <w:r>
        <w:rPr>
          <w:rStyle w:val="32"/>
        </w:rPr>
        <w:footnoteRef/>
      </w:r>
      <w:r>
        <w:rPr>
          <w:rFonts w:hint="eastAsia"/>
        </w:rPr>
        <w:t>生态质量指数（EQI）：基准数据来源于市生态环境局；</w:t>
      </w:r>
    </w:p>
  </w:footnote>
  <w:footnote w:id="8">
    <w:p w14:paraId="427889FA">
      <w:pPr>
        <w:pStyle w:val="21"/>
        <w:ind w:firstLine="360"/>
      </w:pPr>
      <w:r>
        <w:rPr>
          <w:rStyle w:val="32"/>
        </w:rPr>
        <w:footnoteRef/>
      </w:r>
      <w:r>
        <w:rPr>
          <w:rFonts w:hint="eastAsia"/>
        </w:rPr>
        <w:t>生物多样性体验地：基准数据来源于市生态环境局官网。</w:t>
      </w:r>
    </w:p>
  </w:footnote>
  <w:footnote w:id="9">
    <w:p w14:paraId="0DFD5343">
      <w:pPr>
        <w:pStyle w:val="21"/>
        <w:ind w:firstLine="360"/>
        <w:jc w:val="both"/>
      </w:pPr>
      <w:r>
        <w:rPr>
          <w:rStyle w:val="32"/>
        </w:rPr>
        <w:footnoteRef/>
      </w:r>
      <w:r>
        <w:rPr>
          <w:rFonts w:hint="eastAsia"/>
        </w:rPr>
        <w:t>“两轴”：以长江干流武汉段及流域水系为主体，形成“长江生态蓝轴”；以汉江和东西山系为主体，形成“东西山水绿轴”，共同构成武汉市生物多样性保护“蓝绿生态空间十字轴”。“两环”：以三环线城市生态环和市域郊野生态环为主体，形成武汉市生物多样性保护生态内外环。“六楔”：依托大中型湖泊、河流、湿地、山体、林带，规划构建贯通城市内外的六大生态绿楔，包含大东湖、府河、武湖、后官湖、青菱湖、汤逊河，对外连通区域生态网络，对内深入主城区，重点建设郊野公园。“八廊”：利用河流水网、山系及主要交通走廊，在城市组团间规划府</w:t>
      </w:r>
      <w:r>
        <w:rPr>
          <w:rFonts w:hint="eastAsia" w:ascii="微软雅黑" w:hAnsi="微软雅黑" w:eastAsia="微软雅黑" w:cs="微软雅黑"/>
        </w:rPr>
        <w:t>澴</w:t>
      </w:r>
      <w:r>
        <w:rPr>
          <w:rFonts w:hint="eastAsia" w:ascii="仿宋_GB2312" w:hAnsi="仿宋_GB2312" w:cs="仿宋_GB2312"/>
        </w:rPr>
        <w:t>河、滠水、倒水、举水、沙河、汉北河、通顺河、金水河等八条生态廊道</w:t>
      </w:r>
      <w:r>
        <w:rPr>
          <w:rFonts w:hint="eastAsi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CB451">
    <w:pPr>
      <w:ind w:firstLine="6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09627">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C7685">
    <w:pPr>
      <w:pStyle w:val="17"/>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60"/>
  <w:drawingGridVerticalSpacing w:val="220"/>
  <w:displayVerticalDrawingGridEvery w:val="2"/>
  <w:noPunctuationKerning w:val="1"/>
  <w:characterSpacingControl w:val="compressPunctuation"/>
  <w:footnotePr>
    <w:footnote w:id="20"/>
    <w:footnote w:id="2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QzZTJhOGU1YzBlZjZhNjIxNGZkN2ZmMGM4YmJkM2UifQ=="/>
  </w:docVars>
  <w:rsids>
    <w:rsidRoot w:val="007D427C"/>
    <w:rsid w:val="000000EF"/>
    <w:rsid w:val="000009B7"/>
    <w:rsid w:val="000009E9"/>
    <w:rsid w:val="00000EF8"/>
    <w:rsid w:val="00001173"/>
    <w:rsid w:val="00001246"/>
    <w:rsid w:val="000012CF"/>
    <w:rsid w:val="000017E5"/>
    <w:rsid w:val="00002783"/>
    <w:rsid w:val="000031B7"/>
    <w:rsid w:val="00004DEE"/>
    <w:rsid w:val="00004E6A"/>
    <w:rsid w:val="000054CE"/>
    <w:rsid w:val="00005511"/>
    <w:rsid w:val="00005794"/>
    <w:rsid w:val="0000581B"/>
    <w:rsid w:val="000058EC"/>
    <w:rsid w:val="00005914"/>
    <w:rsid w:val="00005E0B"/>
    <w:rsid w:val="00005E41"/>
    <w:rsid w:val="00005F9A"/>
    <w:rsid w:val="000061C9"/>
    <w:rsid w:val="000062D9"/>
    <w:rsid w:val="000062F1"/>
    <w:rsid w:val="00006372"/>
    <w:rsid w:val="00006EA9"/>
    <w:rsid w:val="00006F14"/>
    <w:rsid w:val="00007250"/>
    <w:rsid w:val="000114E2"/>
    <w:rsid w:val="00012537"/>
    <w:rsid w:val="000127CE"/>
    <w:rsid w:val="000129A1"/>
    <w:rsid w:val="00012D7A"/>
    <w:rsid w:val="00012DA4"/>
    <w:rsid w:val="00012E97"/>
    <w:rsid w:val="0001301F"/>
    <w:rsid w:val="00013472"/>
    <w:rsid w:val="00013D5E"/>
    <w:rsid w:val="00013F16"/>
    <w:rsid w:val="000144AC"/>
    <w:rsid w:val="00014AA9"/>
    <w:rsid w:val="00014B9B"/>
    <w:rsid w:val="00014D69"/>
    <w:rsid w:val="0001502D"/>
    <w:rsid w:val="000154A5"/>
    <w:rsid w:val="00015835"/>
    <w:rsid w:val="00015CF0"/>
    <w:rsid w:val="00015FFC"/>
    <w:rsid w:val="000161F9"/>
    <w:rsid w:val="00016308"/>
    <w:rsid w:val="000164C5"/>
    <w:rsid w:val="0001681C"/>
    <w:rsid w:val="00016B39"/>
    <w:rsid w:val="00016B3C"/>
    <w:rsid w:val="00016BE8"/>
    <w:rsid w:val="00016C59"/>
    <w:rsid w:val="00017321"/>
    <w:rsid w:val="00017A7D"/>
    <w:rsid w:val="000201E8"/>
    <w:rsid w:val="00020842"/>
    <w:rsid w:val="00020979"/>
    <w:rsid w:val="00020D69"/>
    <w:rsid w:val="00021030"/>
    <w:rsid w:val="00021B9C"/>
    <w:rsid w:val="00022A6F"/>
    <w:rsid w:val="00022E0E"/>
    <w:rsid w:val="00023267"/>
    <w:rsid w:val="0002395F"/>
    <w:rsid w:val="000240F3"/>
    <w:rsid w:val="00024145"/>
    <w:rsid w:val="000242A5"/>
    <w:rsid w:val="0002484F"/>
    <w:rsid w:val="0002522A"/>
    <w:rsid w:val="00025238"/>
    <w:rsid w:val="000255B6"/>
    <w:rsid w:val="00025C68"/>
    <w:rsid w:val="00025C75"/>
    <w:rsid w:val="00025CE0"/>
    <w:rsid w:val="000263B6"/>
    <w:rsid w:val="00027452"/>
    <w:rsid w:val="00027568"/>
    <w:rsid w:val="00027867"/>
    <w:rsid w:val="0002790D"/>
    <w:rsid w:val="00030386"/>
    <w:rsid w:val="00030788"/>
    <w:rsid w:val="00030B22"/>
    <w:rsid w:val="00030FF4"/>
    <w:rsid w:val="000310A5"/>
    <w:rsid w:val="000310E1"/>
    <w:rsid w:val="000317C6"/>
    <w:rsid w:val="00031A85"/>
    <w:rsid w:val="00031E77"/>
    <w:rsid w:val="0003213A"/>
    <w:rsid w:val="000326CB"/>
    <w:rsid w:val="0003278B"/>
    <w:rsid w:val="000336AB"/>
    <w:rsid w:val="00033E9D"/>
    <w:rsid w:val="000342C9"/>
    <w:rsid w:val="00034DEA"/>
    <w:rsid w:val="00034FD4"/>
    <w:rsid w:val="00035003"/>
    <w:rsid w:val="00035344"/>
    <w:rsid w:val="00035458"/>
    <w:rsid w:val="00035555"/>
    <w:rsid w:val="00035DE0"/>
    <w:rsid w:val="00035F76"/>
    <w:rsid w:val="00036545"/>
    <w:rsid w:val="0003673B"/>
    <w:rsid w:val="00036894"/>
    <w:rsid w:val="00037089"/>
    <w:rsid w:val="0003734D"/>
    <w:rsid w:val="00037895"/>
    <w:rsid w:val="000379CB"/>
    <w:rsid w:val="00037B2B"/>
    <w:rsid w:val="00037C18"/>
    <w:rsid w:val="00037DDF"/>
    <w:rsid w:val="0004008B"/>
    <w:rsid w:val="000401DC"/>
    <w:rsid w:val="000404BB"/>
    <w:rsid w:val="00040A55"/>
    <w:rsid w:val="00041206"/>
    <w:rsid w:val="00041D0C"/>
    <w:rsid w:val="0004243A"/>
    <w:rsid w:val="00042490"/>
    <w:rsid w:val="0004263D"/>
    <w:rsid w:val="00042A26"/>
    <w:rsid w:val="00042ECA"/>
    <w:rsid w:val="0004328C"/>
    <w:rsid w:val="000433FB"/>
    <w:rsid w:val="0004351B"/>
    <w:rsid w:val="0004373B"/>
    <w:rsid w:val="00043845"/>
    <w:rsid w:val="000439F1"/>
    <w:rsid w:val="00043B2D"/>
    <w:rsid w:val="00043D4C"/>
    <w:rsid w:val="00043EE4"/>
    <w:rsid w:val="0004458D"/>
    <w:rsid w:val="00044A0F"/>
    <w:rsid w:val="00045809"/>
    <w:rsid w:val="0004599C"/>
    <w:rsid w:val="00045E9F"/>
    <w:rsid w:val="0004632D"/>
    <w:rsid w:val="00046804"/>
    <w:rsid w:val="00046ACB"/>
    <w:rsid w:val="00046E79"/>
    <w:rsid w:val="00046FA6"/>
    <w:rsid w:val="00047AC4"/>
    <w:rsid w:val="00047B10"/>
    <w:rsid w:val="00050429"/>
    <w:rsid w:val="00050BA0"/>
    <w:rsid w:val="00050E87"/>
    <w:rsid w:val="00050FA9"/>
    <w:rsid w:val="000510C4"/>
    <w:rsid w:val="00051379"/>
    <w:rsid w:val="00051F77"/>
    <w:rsid w:val="00051FCB"/>
    <w:rsid w:val="0005211A"/>
    <w:rsid w:val="000525E5"/>
    <w:rsid w:val="00052BD0"/>
    <w:rsid w:val="00052C07"/>
    <w:rsid w:val="0005313F"/>
    <w:rsid w:val="0005373F"/>
    <w:rsid w:val="00053DF4"/>
    <w:rsid w:val="000543C8"/>
    <w:rsid w:val="00054551"/>
    <w:rsid w:val="000545E1"/>
    <w:rsid w:val="0005465F"/>
    <w:rsid w:val="0005471B"/>
    <w:rsid w:val="000551C2"/>
    <w:rsid w:val="00055612"/>
    <w:rsid w:val="00055C0E"/>
    <w:rsid w:val="00055C4E"/>
    <w:rsid w:val="00055CC8"/>
    <w:rsid w:val="00055E4E"/>
    <w:rsid w:val="0005663C"/>
    <w:rsid w:val="00056721"/>
    <w:rsid w:val="00056783"/>
    <w:rsid w:val="00056832"/>
    <w:rsid w:val="0005731E"/>
    <w:rsid w:val="00057531"/>
    <w:rsid w:val="000604BE"/>
    <w:rsid w:val="00060678"/>
    <w:rsid w:val="00061128"/>
    <w:rsid w:val="000613C3"/>
    <w:rsid w:val="000619A6"/>
    <w:rsid w:val="00061ABD"/>
    <w:rsid w:val="00061CC0"/>
    <w:rsid w:val="00061D17"/>
    <w:rsid w:val="000623FA"/>
    <w:rsid w:val="00062793"/>
    <w:rsid w:val="00062BC3"/>
    <w:rsid w:val="00062E84"/>
    <w:rsid w:val="00063311"/>
    <w:rsid w:val="00063DD3"/>
    <w:rsid w:val="00064214"/>
    <w:rsid w:val="0006471C"/>
    <w:rsid w:val="00064FDF"/>
    <w:rsid w:val="00065019"/>
    <w:rsid w:val="00065134"/>
    <w:rsid w:val="0006529D"/>
    <w:rsid w:val="000658BB"/>
    <w:rsid w:val="00065DB8"/>
    <w:rsid w:val="00066122"/>
    <w:rsid w:val="00066527"/>
    <w:rsid w:val="000669E1"/>
    <w:rsid w:val="00066D42"/>
    <w:rsid w:val="00066FD5"/>
    <w:rsid w:val="00067123"/>
    <w:rsid w:val="000672A4"/>
    <w:rsid w:val="000675B4"/>
    <w:rsid w:val="0006760E"/>
    <w:rsid w:val="00067800"/>
    <w:rsid w:val="00067A93"/>
    <w:rsid w:val="00067C2C"/>
    <w:rsid w:val="00067F66"/>
    <w:rsid w:val="00067FE5"/>
    <w:rsid w:val="0007046D"/>
    <w:rsid w:val="00070931"/>
    <w:rsid w:val="00070A2A"/>
    <w:rsid w:val="00070D27"/>
    <w:rsid w:val="000713DD"/>
    <w:rsid w:val="00071C0C"/>
    <w:rsid w:val="00072113"/>
    <w:rsid w:val="00072172"/>
    <w:rsid w:val="00072860"/>
    <w:rsid w:val="00073A53"/>
    <w:rsid w:val="00073AD9"/>
    <w:rsid w:val="00074D32"/>
    <w:rsid w:val="000751EF"/>
    <w:rsid w:val="00075E23"/>
    <w:rsid w:val="0007697B"/>
    <w:rsid w:val="000772FA"/>
    <w:rsid w:val="00077336"/>
    <w:rsid w:val="0007770A"/>
    <w:rsid w:val="00080908"/>
    <w:rsid w:val="00080E23"/>
    <w:rsid w:val="00081386"/>
    <w:rsid w:val="0008165B"/>
    <w:rsid w:val="00081F24"/>
    <w:rsid w:val="00082A18"/>
    <w:rsid w:val="00082C00"/>
    <w:rsid w:val="00082F5D"/>
    <w:rsid w:val="0008311C"/>
    <w:rsid w:val="000837E1"/>
    <w:rsid w:val="000837F6"/>
    <w:rsid w:val="00083BEC"/>
    <w:rsid w:val="00083D73"/>
    <w:rsid w:val="000842DE"/>
    <w:rsid w:val="00084343"/>
    <w:rsid w:val="0008454E"/>
    <w:rsid w:val="00084562"/>
    <w:rsid w:val="00084B0C"/>
    <w:rsid w:val="0008544E"/>
    <w:rsid w:val="0008574C"/>
    <w:rsid w:val="00085F3C"/>
    <w:rsid w:val="00085FFF"/>
    <w:rsid w:val="0008631C"/>
    <w:rsid w:val="00086AE4"/>
    <w:rsid w:val="00086D6A"/>
    <w:rsid w:val="00087CF3"/>
    <w:rsid w:val="00090AC1"/>
    <w:rsid w:val="00090E26"/>
    <w:rsid w:val="00091221"/>
    <w:rsid w:val="00091B4E"/>
    <w:rsid w:val="00091E3E"/>
    <w:rsid w:val="0009216C"/>
    <w:rsid w:val="00092472"/>
    <w:rsid w:val="0009290B"/>
    <w:rsid w:val="0009297F"/>
    <w:rsid w:val="00092B34"/>
    <w:rsid w:val="00092C1E"/>
    <w:rsid w:val="00093010"/>
    <w:rsid w:val="00093405"/>
    <w:rsid w:val="000937C6"/>
    <w:rsid w:val="00093950"/>
    <w:rsid w:val="00093FA2"/>
    <w:rsid w:val="0009422B"/>
    <w:rsid w:val="000946BD"/>
    <w:rsid w:val="000947B2"/>
    <w:rsid w:val="0009505F"/>
    <w:rsid w:val="00095830"/>
    <w:rsid w:val="00095AF7"/>
    <w:rsid w:val="00095C4C"/>
    <w:rsid w:val="00095ECF"/>
    <w:rsid w:val="00096273"/>
    <w:rsid w:val="00096AC2"/>
    <w:rsid w:val="00097A5F"/>
    <w:rsid w:val="00097A87"/>
    <w:rsid w:val="00097B33"/>
    <w:rsid w:val="000A002F"/>
    <w:rsid w:val="000A008F"/>
    <w:rsid w:val="000A0177"/>
    <w:rsid w:val="000A0633"/>
    <w:rsid w:val="000A0E03"/>
    <w:rsid w:val="000A0FE6"/>
    <w:rsid w:val="000A12E5"/>
    <w:rsid w:val="000A26BB"/>
    <w:rsid w:val="000A2735"/>
    <w:rsid w:val="000A2C85"/>
    <w:rsid w:val="000A2F74"/>
    <w:rsid w:val="000A3187"/>
    <w:rsid w:val="000A3204"/>
    <w:rsid w:val="000A3A44"/>
    <w:rsid w:val="000A40EB"/>
    <w:rsid w:val="000A4A9A"/>
    <w:rsid w:val="000A4BE4"/>
    <w:rsid w:val="000A5341"/>
    <w:rsid w:val="000A5347"/>
    <w:rsid w:val="000A5E03"/>
    <w:rsid w:val="000A603C"/>
    <w:rsid w:val="000A60EC"/>
    <w:rsid w:val="000A6721"/>
    <w:rsid w:val="000A6725"/>
    <w:rsid w:val="000A693B"/>
    <w:rsid w:val="000A702F"/>
    <w:rsid w:val="000A7275"/>
    <w:rsid w:val="000A73C9"/>
    <w:rsid w:val="000A7C2C"/>
    <w:rsid w:val="000A7DC2"/>
    <w:rsid w:val="000B02B8"/>
    <w:rsid w:val="000B085C"/>
    <w:rsid w:val="000B161B"/>
    <w:rsid w:val="000B1DDC"/>
    <w:rsid w:val="000B1E99"/>
    <w:rsid w:val="000B1F1B"/>
    <w:rsid w:val="000B21B6"/>
    <w:rsid w:val="000B21CB"/>
    <w:rsid w:val="000B2219"/>
    <w:rsid w:val="000B2509"/>
    <w:rsid w:val="000B27B3"/>
    <w:rsid w:val="000B2D20"/>
    <w:rsid w:val="000B33AE"/>
    <w:rsid w:val="000B348D"/>
    <w:rsid w:val="000B39D2"/>
    <w:rsid w:val="000B3AF1"/>
    <w:rsid w:val="000B3F7E"/>
    <w:rsid w:val="000B41FB"/>
    <w:rsid w:val="000B47DD"/>
    <w:rsid w:val="000B4C11"/>
    <w:rsid w:val="000B4D63"/>
    <w:rsid w:val="000B4F42"/>
    <w:rsid w:val="000B541D"/>
    <w:rsid w:val="000B5E95"/>
    <w:rsid w:val="000B5F39"/>
    <w:rsid w:val="000B6705"/>
    <w:rsid w:val="000B6A18"/>
    <w:rsid w:val="000B7358"/>
    <w:rsid w:val="000C0023"/>
    <w:rsid w:val="000C0843"/>
    <w:rsid w:val="000C0C7B"/>
    <w:rsid w:val="000C23D2"/>
    <w:rsid w:val="000C25D4"/>
    <w:rsid w:val="000C272A"/>
    <w:rsid w:val="000C28EB"/>
    <w:rsid w:val="000C2BA1"/>
    <w:rsid w:val="000C2CE0"/>
    <w:rsid w:val="000C2D34"/>
    <w:rsid w:val="000C2DCE"/>
    <w:rsid w:val="000C3431"/>
    <w:rsid w:val="000C3558"/>
    <w:rsid w:val="000C371C"/>
    <w:rsid w:val="000C411F"/>
    <w:rsid w:val="000C47D3"/>
    <w:rsid w:val="000C4972"/>
    <w:rsid w:val="000C4AB4"/>
    <w:rsid w:val="000C4D70"/>
    <w:rsid w:val="000C5A30"/>
    <w:rsid w:val="000C5ED0"/>
    <w:rsid w:val="000C6315"/>
    <w:rsid w:val="000C66F0"/>
    <w:rsid w:val="000C674E"/>
    <w:rsid w:val="000C6794"/>
    <w:rsid w:val="000C6C73"/>
    <w:rsid w:val="000C6D18"/>
    <w:rsid w:val="000C6FE8"/>
    <w:rsid w:val="000C7017"/>
    <w:rsid w:val="000C7253"/>
    <w:rsid w:val="000C730D"/>
    <w:rsid w:val="000C73C2"/>
    <w:rsid w:val="000C75C9"/>
    <w:rsid w:val="000C7772"/>
    <w:rsid w:val="000C7898"/>
    <w:rsid w:val="000C7CA9"/>
    <w:rsid w:val="000D009D"/>
    <w:rsid w:val="000D05AE"/>
    <w:rsid w:val="000D0D62"/>
    <w:rsid w:val="000D154B"/>
    <w:rsid w:val="000D1E6E"/>
    <w:rsid w:val="000D237E"/>
    <w:rsid w:val="000D2393"/>
    <w:rsid w:val="000D23F8"/>
    <w:rsid w:val="000D271D"/>
    <w:rsid w:val="000D2C48"/>
    <w:rsid w:val="000D3528"/>
    <w:rsid w:val="000D39A7"/>
    <w:rsid w:val="000D3D12"/>
    <w:rsid w:val="000D3DEB"/>
    <w:rsid w:val="000D41BC"/>
    <w:rsid w:val="000D4430"/>
    <w:rsid w:val="000D4B8F"/>
    <w:rsid w:val="000D4D2A"/>
    <w:rsid w:val="000D4E8D"/>
    <w:rsid w:val="000D51ED"/>
    <w:rsid w:val="000D5704"/>
    <w:rsid w:val="000D5A1B"/>
    <w:rsid w:val="000D5B43"/>
    <w:rsid w:val="000D5C82"/>
    <w:rsid w:val="000D5D9B"/>
    <w:rsid w:val="000D5E2E"/>
    <w:rsid w:val="000D6E06"/>
    <w:rsid w:val="000D6E2F"/>
    <w:rsid w:val="000D6F1C"/>
    <w:rsid w:val="000D72EB"/>
    <w:rsid w:val="000D77F4"/>
    <w:rsid w:val="000E09E1"/>
    <w:rsid w:val="000E09F2"/>
    <w:rsid w:val="000E0E0C"/>
    <w:rsid w:val="000E155E"/>
    <w:rsid w:val="000E16C0"/>
    <w:rsid w:val="000E1AE9"/>
    <w:rsid w:val="000E22E1"/>
    <w:rsid w:val="000E28F7"/>
    <w:rsid w:val="000E2966"/>
    <w:rsid w:val="000E2AB1"/>
    <w:rsid w:val="000E34D7"/>
    <w:rsid w:val="000E373F"/>
    <w:rsid w:val="000E3E2A"/>
    <w:rsid w:val="000E3F52"/>
    <w:rsid w:val="000E45E7"/>
    <w:rsid w:val="000E4D11"/>
    <w:rsid w:val="000E4EE9"/>
    <w:rsid w:val="000E53A6"/>
    <w:rsid w:val="000E5565"/>
    <w:rsid w:val="000E56C6"/>
    <w:rsid w:val="000E5D24"/>
    <w:rsid w:val="000E5ECE"/>
    <w:rsid w:val="000E774D"/>
    <w:rsid w:val="000E7A95"/>
    <w:rsid w:val="000E7CA6"/>
    <w:rsid w:val="000E7D98"/>
    <w:rsid w:val="000F0230"/>
    <w:rsid w:val="000F0355"/>
    <w:rsid w:val="000F05C8"/>
    <w:rsid w:val="000F0917"/>
    <w:rsid w:val="000F0A6B"/>
    <w:rsid w:val="000F0FE9"/>
    <w:rsid w:val="000F176F"/>
    <w:rsid w:val="000F1F78"/>
    <w:rsid w:val="000F2086"/>
    <w:rsid w:val="000F278B"/>
    <w:rsid w:val="000F3303"/>
    <w:rsid w:val="000F3C92"/>
    <w:rsid w:val="000F436E"/>
    <w:rsid w:val="000F4AF5"/>
    <w:rsid w:val="000F4ED8"/>
    <w:rsid w:val="000F5A02"/>
    <w:rsid w:val="000F62E9"/>
    <w:rsid w:val="000F67B7"/>
    <w:rsid w:val="000F6EB8"/>
    <w:rsid w:val="000F7473"/>
    <w:rsid w:val="000F7486"/>
    <w:rsid w:val="000F7580"/>
    <w:rsid w:val="000F75B0"/>
    <w:rsid w:val="000F7679"/>
    <w:rsid w:val="000F778D"/>
    <w:rsid w:val="000F7C13"/>
    <w:rsid w:val="001001EE"/>
    <w:rsid w:val="001002D0"/>
    <w:rsid w:val="001005B3"/>
    <w:rsid w:val="00100618"/>
    <w:rsid w:val="00100A53"/>
    <w:rsid w:val="00100D25"/>
    <w:rsid w:val="00101AE9"/>
    <w:rsid w:val="00102031"/>
    <w:rsid w:val="00102062"/>
    <w:rsid w:val="001026F0"/>
    <w:rsid w:val="00102E79"/>
    <w:rsid w:val="00102F78"/>
    <w:rsid w:val="001030FC"/>
    <w:rsid w:val="0010365E"/>
    <w:rsid w:val="00103C9A"/>
    <w:rsid w:val="001042CB"/>
    <w:rsid w:val="00104ABE"/>
    <w:rsid w:val="00105064"/>
    <w:rsid w:val="001056DF"/>
    <w:rsid w:val="00105995"/>
    <w:rsid w:val="00105D62"/>
    <w:rsid w:val="00106071"/>
    <w:rsid w:val="00106437"/>
    <w:rsid w:val="001065AF"/>
    <w:rsid w:val="0010782C"/>
    <w:rsid w:val="00110A2A"/>
    <w:rsid w:val="00110AD7"/>
    <w:rsid w:val="00110B83"/>
    <w:rsid w:val="00110D91"/>
    <w:rsid w:val="001118E1"/>
    <w:rsid w:val="00111A1C"/>
    <w:rsid w:val="001125E0"/>
    <w:rsid w:val="001127D3"/>
    <w:rsid w:val="00112D2C"/>
    <w:rsid w:val="00113001"/>
    <w:rsid w:val="00113030"/>
    <w:rsid w:val="00114086"/>
    <w:rsid w:val="00114120"/>
    <w:rsid w:val="001146A1"/>
    <w:rsid w:val="0011490C"/>
    <w:rsid w:val="00114AFE"/>
    <w:rsid w:val="00114CF9"/>
    <w:rsid w:val="00114FE2"/>
    <w:rsid w:val="0011637D"/>
    <w:rsid w:val="0011652C"/>
    <w:rsid w:val="00116AFA"/>
    <w:rsid w:val="00116B2C"/>
    <w:rsid w:val="00117148"/>
    <w:rsid w:val="00117223"/>
    <w:rsid w:val="001174A7"/>
    <w:rsid w:val="00120754"/>
    <w:rsid w:val="00120D85"/>
    <w:rsid w:val="00121359"/>
    <w:rsid w:val="0012160E"/>
    <w:rsid w:val="00121E01"/>
    <w:rsid w:val="00122091"/>
    <w:rsid w:val="00122259"/>
    <w:rsid w:val="0012235A"/>
    <w:rsid w:val="0012241A"/>
    <w:rsid w:val="001224E0"/>
    <w:rsid w:val="00122C98"/>
    <w:rsid w:val="00123029"/>
    <w:rsid w:val="00123275"/>
    <w:rsid w:val="001232C2"/>
    <w:rsid w:val="00123529"/>
    <w:rsid w:val="0012381D"/>
    <w:rsid w:val="0012390B"/>
    <w:rsid w:val="00123BEB"/>
    <w:rsid w:val="0012470C"/>
    <w:rsid w:val="0012484C"/>
    <w:rsid w:val="00124AB9"/>
    <w:rsid w:val="00124D27"/>
    <w:rsid w:val="001251F4"/>
    <w:rsid w:val="001252F8"/>
    <w:rsid w:val="00125D95"/>
    <w:rsid w:val="0012613F"/>
    <w:rsid w:val="001262C1"/>
    <w:rsid w:val="00126690"/>
    <w:rsid w:val="00126A9B"/>
    <w:rsid w:val="00126FD6"/>
    <w:rsid w:val="00127085"/>
    <w:rsid w:val="0012760D"/>
    <w:rsid w:val="00127D0F"/>
    <w:rsid w:val="00127D3B"/>
    <w:rsid w:val="001300D4"/>
    <w:rsid w:val="00130198"/>
    <w:rsid w:val="0013019B"/>
    <w:rsid w:val="00130251"/>
    <w:rsid w:val="00130503"/>
    <w:rsid w:val="00130602"/>
    <w:rsid w:val="00130697"/>
    <w:rsid w:val="00130C79"/>
    <w:rsid w:val="00131075"/>
    <w:rsid w:val="00131113"/>
    <w:rsid w:val="00131391"/>
    <w:rsid w:val="001314A2"/>
    <w:rsid w:val="00131804"/>
    <w:rsid w:val="00131D45"/>
    <w:rsid w:val="001328B8"/>
    <w:rsid w:val="00132EEB"/>
    <w:rsid w:val="00134164"/>
    <w:rsid w:val="001341EC"/>
    <w:rsid w:val="0013485F"/>
    <w:rsid w:val="00134D25"/>
    <w:rsid w:val="0013524D"/>
    <w:rsid w:val="0013545D"/>
    <w:rsid w:val="0013564E"/>
    <w:rsid w:val="0013568B"/>
    <w:rsid w:val="0013582E"/>
    <w:rsid w:val="00135CBD"/>
    <w:rsid w:val="00136234"/>
    <w:rsid w:val="00136FB8"/>
    <w:rsid w:val="00137501"/>
    <w:rsid w:val="00137660"/>
    <w:rsid w:val="00137DF1"/>
    <w:rsid w:val="00137DF6"/>
    <w:rsid w:val="00140019"/>
    <w:rsid w:val="001404AF"/>
    <w:rsid w:val="001405AF"/>
    <w:rsid w:val="00141700"/>
    <w:rsid w:val="00141F13"/>
    <w:rsid w:val="00142EEA"/>
    <w:rsid w:val="001437F8"/>
    <w:rsid w:val="00143A76"/>
    <w:rsid w:val="00144583"/>
    <w:rsid w:val="00144603"/>
    <w:rsid w:val="00144A7D"/>
    <w:rsid w:val="00144DC5"/>
    <w:rsid w:val="001451C1"/>
    <w:rsid w:val="00145AE0"/>
    <w:rsid w:val="00145E00"/>
    <w:rsid w:val="00145F6E"/>
    <w:rsid w:val="001464E4"/>
    <w:rsid w:val="00146983"/>
    <w:rsid w:val="001476F0"/>
    <w:rsid w:val="00147E25"/>
    <w:rsid w:val="00150A31"/>
    <w:rsid w:val="0015135F"/>
    <w:rsid w:val="00152750"/>
    <w:rsid w:val="00152BD2"/>
    <w:rsid w:val="001532A8"/>
    <w:rsid w:val="00153BAC"/>
    <w:rsid w:val="00154451"/>
    <w:rsid w:val="001544C0"/>
    <w:rsid w:val="001548C0"/>
    <w:rsid w:val="00154908"/>
    <w:rsid w:val="00154940"/>
    <w:rsid w:val="00154A46"/>
    <w:rsid w:val="00155B50"/>
    <w:rsid w:val="00155D3C"/>
    <w:rsid w:val="00155F0B"/>
    <w:rsid w:val="00156113"/>
    <w:rsid w:val="00156605"/>
    <w:rsid w:val="00156E53"/>
    <w:rsid w:val="00157059"/>
    <w:rsid w:val="00157417"/>
    <w:rsid w:val="001576C3"/>
    <w:rsid w:val="001577C7"/>
    <w:rsid w:val="00157F6C"/>
    <w:rsid w:val="00160234"/>
    <w:rsid w:val="00160C10"/>
    <w:rsid w:val="00160C31"/>
    <w:rsid w:val="00161072"/>
    <w:rsid w:val="00161377"/>
    <w:rsid w:val="00161854"/>
    <w:rsid w:val="001622B8"/>
    <w:rsid w:val="0016378D"/>
    <w:rsid w:val="00163BB9"/>
    <w:rsid w:val="00164050"/>
    <w:rsid w:val="00164503"/>
    <w:rsid w:val="001647D5"/>
    <w:rsid w:val="00164C14"/>
    <w:rsid w:val="001653BA"/>
    <w:rsid w:val="00165608"/>
    <w:rsid w:val="00165649"/>
    <w:rsid w:val="001659B0"/>
    <w:rsid w:val="00165C39"/>
    <w:rsid w:val="00165D5B"/>
    <w:rsid w:val="00165EBE"/>
    <w:rsid w:val="00166307"/>
    <w:rsid w:val="001665DA"/>
    <w:rsid w:val="00166EB8"/>
    <w:rsid w:val="001670C1"/>
    <w:rsid w:val="001674F8"/>
    <w:rsid w:val="001677A8"/>
    <w:rsid w:val="00170168"/>
    <w:rsid w:val="001703A2"/>
    <w:rsid w:val="001707D5"/>
    <w:rsid w:val="001707F3"/>
    <w:rsid w:val="00170D0A"/>
    <w:rsid w:val="00170FB6"/>
    <w:rsid w:val="00170FC3"/>
    <w:rsid w:val="00171114"/>
    <w:rsid w:val="00171A04"/>
    <w:rsid w:val="001720E4"/>
    <w:rsid w:val="00172B9B"/>
    <w:rsid w:val="00172B9C"/>
    <w:rsid w:val="00172D46"/>
    <w:rsid w:val="0017349C"/>
    <w:rsid w:val="0017386F"/>
    <w:rsid w:val="00173A5F"/>
    <w:rsid w:val="00173F4D"/>
    <w:rsid w:val="00174B9E"/>
    <w:rsid w:val="00174BEE"/>
    <w:rsid w:val="00174E46"/>
    <w:rsid w:val="00175643"/>
    <w:rsid w:val="001761C0"/>
    <w:rsid w:val="00176959"/>
    <w:rsid w:val="00176A20"/>
    <w:rsid w:val="00176E57"/>
    <w:rsid w:val="00176F63"/>
    <w:rsid w:val="00176FD8"/>
    <w:rsid w:val="00177790"/>
    <w:rsid w:val="001777E0"/>
    <w:rsid w:val="00177845"/>
    <w:rsid w:val="00177AF7"/>
    <w:rsid w:val="00180065"/>
    <w:rsid w:val="0018067B"/>
    <w:rsid w:val="00182263"/>
    <w:rsid w:val="00182584"/>
    <w:rsid w:val="00182BA7"/>
    <w:rsid w:val="00182F39"/>
    <w:rsid w:val="00184D83"/>
    <w:rsid w:val="0018526F"/>
    <w:rsid w:val="00185A8D"/>
    <w:rsid w:val="00185F4C"/>
    <w:rsid w:val="00186627"/>
    <w:rsid w:val="00186943"/>
    <w:rsid w:val="00187300"/>
    <w:rsid w:val="001874B9"/>
    <w:rsid w:val="00187A5D"/>
    <w:rsid w:val="00187B4B"/>
    <w:rsid w:val="00187DD0"/>
    <w:rsid w:val="00190215"/>
    <w:rsid w:val="00190363"/>
    <w:rsid w:val="00190605"/>
    <w:rsid w:val="00190BFC"/>
    <w:rsid w:val="00190C54"/>
    <w:rsid w:val="00190D98"/>
    <w:rsid w:val="001913C5"/>
    <w:rsid w:val="0019141F"/>
    <w:rsid w:val="00191ABF"/>
    <w:rsid w:val="00192021"/>
    <w:rsid w:val="001924B2"/>
    <w:rsid w:val="0019266C"/>
    <w:rsid w:val="00192CA2"/>
    <w:rsid w:val="00193798"/>
    <w:rsid w:val="00194371"/>
    <w:rsid w:val="00194AEA"/>
    <w:rsid w:val="00195567"/>
    <w:rsid w:val="00195A45"/>
    <w:rsid w:val="00195E8C"/>
    <w:rsid w:val="0019609B"/>
    <w:rsid w:val="001963F3"/>
    <w:rsid w:val="00196471"/>
    <w:rsid w:val="001966B6"/>
    <w:rsid w:val="001969E1"/>
    <w:rsid w:val="00196D71"/>
    <w:rsid w:val="00196DDD"/>
    <w:rsid w:val="00196E9C"/>
    <w:rsid w:val="001978F1"/>
    <w:rsid w:val="00197A1D"/>
    <w:rsid w:val="001A02B8"/>
    <w:rsid w:val="001A03E2"/>
    <w:rsid w:val="001A0611"/>
    <w:rsid w:val="001A0B85"/>
    <w:rsid w:val="001A12EE"/>
    <w:rsid w:val="001A148D"/>
    <w:rsid w:val="001A15E9"/>
    <w:rsid w:val="001A1BF5"/>
    <w:rsid w:val="001A1DDF"/>
    <w:rsid w:val="001A2217"/>
    <w:rsid w:val="001A2529"/>
    <w:rsid w:val="001A2DD2"/>
    <w:rsid w:val="001A3421"/>
    <w:rsid w:val="001A360B"/>
    <w:rsid w:val="001A3DC5"/>
    <w:rsid w:val="001A406C"/>
    <w:rsid w:val="001A40A2"/>
    <w:rsid w:val="001A4206"/>
    <w:rsid w:val="001A441D"/>
    <w:rsid w:val="001A446B"/>
    <w:rsid w:val="001A481D"/>
    <w:rsid w:val="001A4899"/>
    <w:rsid w:val="001A4C84"/>
    <w:rsid w:val="001A5636"/>
    <w:rsid w:val="001A56F3"/>
    <w:rsid w:val="001A610C"/>
    <w:rsid w:val="001A62B9"/>
    <w:rsid w:val="001A6546"/>
    <w:rsid w:val="001A683B"/>
    <w:rsid w:val="001A733D"/>
    <w:rsid w:val="001B0143"/>
    <w:rsid w:val="001B0983"/>
    <w:rsid w:val="001B09ED"/>
    <w:rsid w:val="001B0BC4"/>
    <w:rsid w:val="001B10B0"/>
    <w:rsid w:val="001B128B"/>
    <w:rsid w:val="001B185D"/>
    <w:rsid w:val="001B1DD9"/>
    <w:rsid w:val="001B1E2C"/>
    <w:rsid w:val="001B2294"/>
    <w:rsid w:val="001B2594"/>
    <w:rsid w:val="001B2BC5"/>
    <w:rsid w:val="001B30EF"/>
    <w:rsid w:val="001B3CC8"/>
    <w:rsid w:val="001B3E02"/>
    <w:rsid w:val="001B4210"/>
    <w:rsid w:val="001B4840"/>
    <w:rsid w:val="001B48DC"/>
    <w:rsid w:val="001B4B03"/>
    <w:rsid w:val="001B4D75"/>
    <w:rsid w:val="001B57A0"/>
    <w:rsid w:val="001B5D7D"/>
    <w:rsid w:val="001B5F21"/>
    <w:rsid w:val="001B5FC3"/>
    <w:rsid w:val="001B6521"/>
    <w:rsid w:val="001B6984"/>
    <w:rsid w:val="001B6D00"/>
    <w:rsid w:val="001B7050"/>
    <w:rsid w:val="001B71AE"/>
    <w:rsid w:val="001B7301"/>
    <w:rsid w:val="001B7469"/>
    <w:rsid w:val="001B7887"/>
    <w:rsid w:val="001C09CA"/>
    <w:rsid w:val="001C09EB"/>
    <w:rsid w:val="001C152A"/>
    <w:rsid w:val="001C1A29"/>
    <w:rsid w:val="001C1D1A"/>
    <w:rsid w:val="001C20FD"/>
    <w:rsid w:val="001C2288"/>
    <w:rsid w:val="001C235A"/>
    <w:rsid w:val="001C2766"/>
    <w:rsid w:val="001C2BDE"/>
    <w:rsid w:val="001C3248"/>
    <w:rsid w:val="001C33F4"/>
    <w:rsid w:val="001C3895"/>
    <w:rsid w:val="001C38A9"/>
    <w:rsid w:val="001C392F"/>
    <w:rsid w:val="001C3DC5"/>
    <w:rsid w:val="001C3E51"/>
    <w:rsid w:val="001C4418"/>
    <w:rsid w:val="001C4B59"/>
    <w:rsid w:val="001C5E46"/>
    <w:rsid w:val="001C6006"/>
    <w:rsid w:val="001C713C"/>
    <w:rsid w:val="001C740E"/>
    <w:rsid w:val="001C7D28"/>
    <w:rsid w:val="001D0196"/>
    <w:rsid w:val="001D0459"/>
    <w:rsid w:val="001D0988"/>
    <w:rsid w:val="001D0AB1"/>
    <w:rsid w:val="001D0B3A"/>
    <w:rsid w:val="001D10D5"/>
    <w:rsid w:val="001D139D"/>
    <w:rsid w:val="001D2431"/>
    <w:rsid w:val="001D2679"/>
    <w:rsid w:val="001D294B"/>
    <w:rsid w:val="001D2D85"/>
    <w:rsid w:val="001D2DA6"/>
    <w:rsid w:val="001D3138"/>
    <w:rsid w:val="001D37E1"/>
    <w:rsid w:val="001D405F"/>
    <w:rsid w:val="001D44A4"/>
    <w:rsid w:val="001D495D"/>
    <w:rsid w:val="001D4B97"/>
    <w:rsid w:val="001D54B1"/>
    <w:rsid w:val="001D583D"/>
    <w:rsid w:val="001D5958"/>
    <w:rsid w:val="001D5B83"/>
    <w:rsid w:val="001D6110"/>
    <w:rsid w:val="001D66B3"/>
    <w:rsid w:val="001D6C62"/>
    <w:rsid w:val="001D7B21"/>
    <w:rsid w:val="001E0774"/>
    <w:rsid w:val="001E090B"/>
    <w:rsid w:val="001E0DBD"/>
    <w:rsid w:val="001E105D"/>
    <w:rsid w:val="001E1820"/>
    <w:rsid w:val="001E193C"/>
    <w:rsid w:val="001E1EE0"/>
    <w:rsid w:val="001E227A"/>
    <w:rsid w:val="001E2545"/>
    <w:rsid w:val="001E25AC"/>
    <w:rsid w:val="001E29EC"/>
    <w:rsid w:val="001E2B08"/>
    <w:rsid w:val="001E2B19"/>
    <w:rsid w:val="001E2C2D"/>
    <w:rsid w:val="001E3942"/>
    <w:rsid w:val="001E3FFB"/>
    <w:rsid w:val="001E4200"/>
    <w:rsid w:val="001E43E1"/>
    <w:rsid w:val="001E48EE"/>
    <w:rsid w:val="001E4EED"/>
    <w:rsid w:val="001E5173"/>
    <w:rsid w:val="001E5397"/>
    <w:rsid w:val="001E55AC"/>
    <w:rsid w:val="001E5637"/>
    <w:rsid w:val="001E5713"/>
    <w:rsid w:val="001E6BF4"/>
    <w:rsid w:val="001E76D1"/>
    <w:rsid w:val="001E7955"/>
    <w:rsid w:val="001F038B"/>
    <w:rsid w:val="001F03C0"/>
    <w:rsid w:val="001F05A6"/>
    <w:rsid w:val="001F069B"/>
    <w:rsid w:val="001F0790"/>
    <w:rsid w:val="001F09E2"/>
    <w:rsid w:val="001F0EDF"/>
    <w:rsid w:val="001F11B6"/>
    <w:rsid w:val="001F1A6B"/>
    <w:rsid w:val="001F24B0"/>
    <w:rsid w:val="001F2951"/>
    <w:rsid w:val="001F2ACC"/>
    <w:rsid w:val="001F2CEB"/>
    <w:rsid w:val="001F2D30"/>
    <w:rsid w:val="001F361D"/>
    <w:rsid w:val="001F373B"/>
    <w:rsid w:val="001F374D"/>
    <w:rsid w:val="001F3A0A"/>
    <w:rsid w:val="001F3D23"/>
    <w:rsid w:val="001F3D4D"/>
    <w:rsid w:val="001F3DFD"/>
    <w:rsid w:val="001F3FC8"/>
    <w:rsid w:val="001F4117"/>
    <w:rsid w:val="001F41F0"/>
    <w:rsid w:val="001F4943"/>
    <w:rsid w:val="001F53D7"/>
    <w:rsid w:val="001F5725"/>
    <w:rsid w:val="001F6517"/>
    <w:rsid w:val="001F68B8"/>
    <w:rsid w:val="001F78F9"/>
    <w:rsid w:val="001F7971"/>
    <w:rsid w:val="001F7BDD"/>
    <w:rsid w:val="001F7C55"/>
    <w:rsid w:val="002009C6"/>
    <w:rsid w:val="0020109C"/>
    <w:rsid w:val="00202589"/>
    <w:rsid w:val="00202692"/>
    <w:rsid w:val="0020294C"/>
    <w:rsid w:val="002029E6"/>
    <w:rsid w:val="00202AE5"/>
    <w:rsid w:val="00202E45"/>
    <w:rsid w:val="00202F11"/>
    <w:rsid w:val="002030E2"/>
    <w:rsid w:val="0020369E"/>
    <w:rsid w:val="0020394A"/>
    <w:rsid w:val="00203AAF"/>
    <w:rsid w:val="00203C13"/>
    <w:rsid w:val="00203F87"/>
    <w:rsid w:val="002053E1"/>
    <w:rsid w:val="00205705"/>
    <w:rsid w:val="002057F7"/>
    <w:rsid w:val="00205DB1"/>
    <w:rsid w:val="00206072"/>
    <w:rsid w:val="002060D5"/>
    <w:rsid w:val="00206299"/>
    <w:rsid w:val="00206496"/>
    <w:rsid w:val="00206EDE"/>
    <w:rsid w:val="00207177"/>
    <w:rsid w:val="00210228"/>
    <w:rsid w:val="0021032C"/>
    <w:rsid w:val="0021077B"/>
    <w:rsid w:val="002109C3"/>
    <w:rsid w:val="00210A43"/>
    <w:rsid w:val="00210CB0"/>
    <w:rsid w:val="00210F28"/>
    <w:rsid w:val="0021108C"/>
    <w:rsid w:val="00211894"/>
    <w:rsid w:val="002118CC"/>
    <w:rsid w:val="002122B6"/>
    <w:rsid w:val="002122BD"/>
    <w:rsid w:val="00212BDC"/>
    <w:rsid w:val="002134DE"/>
    <w:rsid w:val="0021391E"/>
    <w:rsid w:val="00213CF0"/>
    <w:rsid w:val="00213EBD"/>
    <w:rsid w:val="00213F1A"/>
    <w:rsid w:val="002149A9"/>
    <w:rsid w:val="00214A19"/>
    <w:rsid w:val="0021579C"/>
    <w:rsid w:val="00215BD6"/>
    <w:rsid w:val="002164CE"/>
    <w:rsid w:val="002166E2"/>
    <w:rsid w:val="00216707"/>
    <w:rsid w:val="00216DFA"/>
    <w:rsid w:val="00217A86"/>
    <w:rsid w:val="00220C84"/>
    <w:rsid w:val="00221848"/>
    <w:rsid w:val="00222049"/>
    <w:rsid w:val="0022268C"/>
    <w:rsid w:val="0022294A"/>
    <w:rsid w:val="00222C9B"/>
    <w:rsid w:val="00222C9E"/>
    <w:rsid w:val="00223293"/>
    <w:rsid w:val="002232CC"/>
    <w:rsid w:val="00223BFA"/>
    <w:rsid w:val="002240F5"/>
    <w:rsid w:val="00224376"/>
    <w:rsid w:val="00224814"/>
    <w:rsid w:val="00224F70"/>
    <w:rsid w:val="00224FF5"/>
    <w:rsid w:val="00226320"/>
    <w:rsid w:val="00226C45"/>
    <w:rsid w:val="00226C9E"/>
    <w:rsid w:val="00227101"/>
    <w:rsid w:val="0022735D"/>
    <w:rsid w:val="002276D4"/>
    <w:rsid w:val="002277FA"/>
    <w:rsid w:val="00230006"/>
    <w:rsid w:val="0023006C"/>
    <w:rsid w:val="00230572"/>
    <w:rsid w:val="002305A4"/>
    <w:rsid w:val="002309F6"/>
    <w:rsid w:val="00230C44"/>
    <w:rsid w:val="00230D96"/>
    <w:rsid w:val="002315DC"/>
    <w:rsid w:val="002319DF"/>
    <w:rsid w:val="002325D0"/>
    <w:rsid w:val="00232A1F"/>
    <w:rsid w:val="00232B2B"/>
    <w:rsid w:val="00232F3F"/>
    <w:rsid w:val="002330A0"/>
    <w:rsid w:val="002335A8"/>
    <w:rsid w:val="002335EF"/>
    <w:rsid w:val="00233D7D"/>
    <w:rsid w:val="0023431F"/>
    <w:rsid w:val="002345CD"/>
    <w:rsid w:val="0023461A"/>
    <w:rsid w:val="00234E0B"/>
    <w:rsid w:val="00234EF4"/>
    <w:rsid w:val="00235005"/>
    <w:rsid w:val="00235098"/>
    <w:rsid w:val="00235211"/>
    <w:rsid w:val="002353F4"/>
    <w:rsid w:val="002357F0"/>
    <w:rsid w:val="00235AF7"/>
    <w:rsid w:val="00235B1A"/>
    <w:rsid w:val="002361EA"/>
    <w:rsid w:val="0023641E"/>
    <w:rsid w:val="00236493"/>
    <w:rsid w:val="00236738"/>
    <w:rsid w:val="00236858"/>
    <w:rsid w:val="00236ADB"/>
    <w:rsid w:val="00236BE5"/>
    <w:rsid w:val="00236E13"/>
    <w:rsid w:val="002371EB"/>
    <w:rsid w:val="0023734D"/>
    <w:rsid w:val="00237374"/>
    <w:rsid w:val="00237FF3"/>
    <w:rsid w:val="00240468"/>
    <w:rsid w:val="00240930"/>
    <w:rsid w:val="00240F74"/>
    <w:rsid w:val="00240F94"/>
    <w:rsid w:val="002413A5"/>
    <w:rsid w:val="00241415"/>
    <w:rsid w:val="002415DF"/>
    <w:rsid w:val="002416FB"/>
    <w:rsid w:val="00241762"/>
    <w:rsid w:val="00241B25"/>
    <w:rsid w:val="00241B7A"/>
    <w:rsid w:val="00241C09"/>
    <w:rsid w:val="00242356"/>
    <w:rsid w:val="002424CC"/>
    <w:rsid w:val="00242654"/>
    <w:rsid w:val="00242B1E"/>
    <w:rsid w:val="00242ECF"/>
    <w:rsid w:val="0024329E"/>
    <w:rsid w:val="0024406B"/>
    <w:rsid w:val="00244552"/>
    <w:rsid w:val="00244E60"/>
    <w:rsid w:val="00245778"/>
    <w:rsid w:val="0024579B"/>
    <w:rsid w:val="0024594E"/>
    <w:rsid w:val="00246008"/>
    <w:rsid w:val="002465F6"/>
    <w:rsid w:val="002466F8"/>
    <w:rsid w:val="0024677F"/>
    <w:rsid w:val="002468E2"/>
    <w:rsid w:val="002477AA"/>
    <w:rsid w:val="002501FD"/>
    <w:rsid w:val="0025022B"/>
    <w:rsid w:val="0025039F"/>
    <w:rsid w:val="00250901"/>
    <w:rsid w:val="00250D46"/>
    <w:rsid w:val="0025106E"/>
    <w:rsid w:val="00251087"/>
    <w:rsid w:val="002512DF"/>
    <w:rsid w:val="00251D0F"/>
    <w:rsid w:val="002520DC"/>
    <w:rsid w:val="0025266B"/>
    <w:rsid w:val="00252CB2"/>
    <w:rsid w:val="00253032"/>
    <w:rsid w:val="002531CE"/>
    <w:rsid w:val="0025336C"/>
    <w:rsid w:val="002537A5"/>
    <w:rsid w:val="00253950"/>
    <w:rsid w:val="002539F4"/>
    <w:rsid w:val="00253D58"/>
    <w:rsid w:val="002544B5"/>
    <w:rsid w:val="002546B1"/>
    <w:rsid w:val="0025566D"/>
    <w:rsid w:val="00255AEC"/>
    <w:rsid w:val="00255CF2"/>
    <w:rsid w:val="00255F98"/>
    <w:rsid w:val="00256156"/>
    <w:rsid w:val="00256407"/>
    <w:rsid w:val="002565D9"/>
    <w:rsid w:val="00256A6A"/>
    <w:rsid w:val="00256E70"/>
    <w:rsid w:val="0025701A"/>
    <w:rsid w:val="00257B0F"/>
    <w:rsid w:val="0026004D"/>
    <w:rsid w:val="00260C4E"/>
    <w:rsid w:val="00261339"/>
    <w:rsid w:val="00261C82"/>
    <w:rsid w:val="00262096"/>
    <w:rsid w:val="0026214A"/>
    <w:rsid w:val="002624FB"/>
    <w:rsid w:val="00262C52"/>
    <w:rsid w:val="002633FA"/>
    <w:rsid w:val="002635A7"/>
    <w:rsid w:val="002639AF"/>
    <w:rsid w:val="002639C0"/>
    <w:rsid w:val="00263A3B"/>
    <w:rsid w:val="00264003"/>
    <w:rsid w:val="002644C3"/>
    <w:rsid w:val="00264588"/>
    <w:rsid w:val="002645F5"/>
    <w:rsid w:val="002647CF"/>
    <w:rsid w:val="00264963"/>
    <w:rsid w:val="00265926"/>
    <w:rsid w:val="00265AA1"/>
    <w:rsid w:val="00265EF1"/>
    <w:rsid w:val="0026613C"/>
    <w:rsid w:val="00266C7B"/>
    <w:rsid w:val="00266E9B"/>
    <w:rsid w:val="002672A5"/>
    <w:rsid w:val="002674D0"/>
    <w:rsid w:val="002702A7"/>
    <w:rsid w:val="002707FD"/>
    <w:rsid w:val="00270990"/>
    <w:rsid w:val="00270BC2"/>
    <w:rsid w:val="00271124"/>
    <w:rsid w:val="002711F9"/>
    <w:rsid w:val="00271808"/>
    <w:rsid w:val="00271C43"/>
    <w:rsid w:val="00272561"/>
    <w:rsid w:val="0027286D"/>
    <w:rsid w:val="00273103"/>
    <w:rsid w:val="0027385E"/>
    <w:rsid w:val="00273C0A"/>
    <w:rsid w:val="00273C75"/>
    <w:rsid w:val="0027474F"/>
    <w:rsid w:val="0027486B"/>
    <w:rsid w:val="00274B66"/>
    <w:rsid w:val="00274EB9"/>
    <w:rsid w:val="00274F1D"/>
    <w:rsid w:val="002750FF"/>
    <w:rsid w:val="00275146"/>
    <w:rsid w:val="002754F5"/>
    <w:rsid w:val="00275CE7"/>
    <w:rsid w:val="00275E19"/>
    <w:rsid w:val="00275F83"/>
    <w:rsid w:val="0027631D"/>
    <w:rsid w:val="00276397"/>
    <w:rsid w:val="00276665"/>
    <w:rsid w:val="00276E77"/>
    <w:rsid w:val="00277158"/>
    <w:rsid w:val="00277268"/>
    <w:rsid w:val="00277542"/>
    <w:rsid w:val="00280986"/>
    <w:rsid w:val="00280DF1"/>
    <w:rsid w:val="00281642"/>
    <w:rsid w:val="00281715"/>
    <w:rsid w:val="00281CAF"/>
    <w:rsid w:val="00281DD7"/>
    <w:rsid w:val="00281EB9"/>
    <w:rsid w:val="002820D5"/>
    <w:rsid w:val="00282A90"/>
    <w:rsid w:val="00282C58"/>
    <w:rsid w:val="0028315A"/>
    <w:rsid w:val="00283173"/>
    <w:rsid w:val="00283548"/>
    <w:rsid w:val="00283794"/>
    <w:rsid w:val="00283A20"/>
    <w:rsid w:val="00283BFF"/>
    <w:rsid w:val="00283C52"/>
    <w:rsid w:val="00283D72"/>
    <w:rsid w:val="00284070"/>
    <w:rsid w:val="0028584D"/>
    <w:rsid w:val="00285DEA"/>
    <w:rsid w:val="00285DEB"/>
    <w:rsid w:val="00285E19"/>
    <w:rsid w:val="002860CB"/>
    <w:rsid w:val="002860D6"/>
    <w:rsid w:val="00286AFF"/>
    <w:rsid w:val="0028715E"/>
    <w:rsid w:val="00287179"/>
    <w:rsid w:val="00287438"/>
    <w:rsid w:val="00287F5F"/>
    <w:rsid w:val="00290AFF"/>
    <w:rsid w:val="002910F1"/>
    <w:rsid w:val="00291C06"/>
    <w:rsid w:val="0029220C"/>
    <w:rsid w:val="00292238"/>
    <w:rsid w:val="0029254E"/>
    <w:rsid w:val="00292B2D"/>
    <w:rsid w:val="00292F85"/>
    <w:rsid w:val="00293364"/>
    <w:rsid w:val="002938CD"/>
    <w:rsid w:val="002938F7"/>
    <w:rsid w:val="00293A71"/>
    <w:rsid w:val="00293D5D"/>
    <w:rsid w:val="0029434D"/>
    <w:rsid w:val="002948D0"/>
    <w:rsid w:val="00294E27"/>
    <w:rsid w:val="002959F7"/>
    <w:rsid w:val="00296542"/>
    <w:rsid w:val="0029666A"/>
    <w:rsid w:val="00296F91"/>
    <w:rsid w:val="0029701F"/>
    <w:rsid w:val="0029722B"/>
    <w:rsid w:val="00297E6B"/>
    <w:rsid w:val="00297FC0"/>
    <w:rsid w:val="002A0201"/>
    <w:rsid w:val="002A2946"/>
    <w:rsid w:val="002A2D2F"/>
    <w:rsid w:val="002A2EB6"/>
    <w:rsid w:val="002A312E"/>
    <w:rsid w:val="002A318E"/>
    <w:rsid w:val="002A38ED"/>
    <w:rsid w:val="002A3EFD"/>
    <w:rsid w:val="002A3F9A"/>
    <w:rsid w:val="002A44EE"/>
    <w:rsid w:val="002A45A0"/>
    <w:rsid w:val="002A4A67"/>
    <w:rsid w:val="002A552B"/>
    <w:rsid w:val="002A5AF3"/>
    <w:rsid w:val="002A5BA6"/>
    <w:rsid w:val="002A5FF5"/>
    <w:rsid w:val="002A6013"/>
    <w:rsid w:val="002A66D0"/>
    <w:rsid w:val="002A66F7"/>
    <w:rsid w:val="002A68F1"/>
    <w:rsid w:val="002A6B5C"/>
    <w:rsid w:val="002A6C0B"/>
    <w:rsid w:val="002A7432"/>
    <w:rsid w:val="002A7AF0"/>
    <w:rsid w:val="002B0D2B"/>
    <w:rsid w:val="002B16BB"/>
    <w:rsid w:val="002B1878"/>
    <w:rsid w:val="002B1E7B"/>
    <w:rsid w:val="002B1F10"/>
    <w:rsid w:val="002B1F33"/>
    <w:rsid w:val="002B1F9A"/>
    <w:rsid w:val="002B2341"/>
    <w:rsid w:val="002B2467"/>
    <w:rsid w:val="002B255E"/>
    <w:rsid w:val="002B289A"/>
    <w:rsid w:val="002B2998"/>
    <w:rsid w:val="002B3725"/>
    <w:rsid w:val="002B385A"/>
    <w:rsid w:val="002B40CB"/>
    <w:rsid w:val="002B41BA"/>
    <w:rsid w:val="002B4327"/>
    <w:rsid w:val="002B4375"/>
    <w:rsid w:val="002B4B6E"/>
    <w:rsid w:val="002B4DF3"/>
    <w:rsid w:val="002B4F6A"/>
    <w:rsid w:val="002B5537"/>
    <w:rsid w:val="002B589E"/>
    <w:rsid w:val="002B5A11"/>
    <w:rsid w:val="002B5E2A"/>
    <w:rsid w:val="002B62F2"/>
    <w:rsid w:val="002B657C"/>
    <w:rsid w:val="002B6FDA"/>
    <w:rsid w:val="002B713F"/>
    <w:rsid w:val="002B7192"/>
    <w:rsid w:val="002B73F3"/>
    <w:rsid w:val="002B766C"/>
    <w:rsid w:val="002B777B"/>
    <w:rsid w:val="002B7AD6"/>
    <w:rsid w:val="002B7DDD"/>
    <w:rsid w:val="002C0CB8"/>
    <w:rsid w:val="002C0CD0"/>
    <w:rsid w:val="002C0E05"/>
    <w:rsid w:val="002C128B"/>
    <w:rsid w:val="002C12D9"/>
    <w:rsid w:val="002C15B2"/>
    <w:rsid w:val="002C1A2D"/>
    <w:rsid w:val="002C1B77"/>
    <w:rsid w:val="002C1C7C"/>
    <w:rsid w:val="002C1CAE"/>
    <w:rsid w:val="002C2A7A"/>
    <w:rsid w:val="002C2EC1"/>
    <w:rsid w:val="002C368F"/>
    <w:rsid w:val="002C3AD8"/>
    <w:rsid w:val="002C3D68"/>
    <w:rsid w:val="002C3E94"/>
    <w:rsid w:val="002C3FF0"/>
    <w:rsid w:val="002C424C"/>
    <w:rsid w:val="002C4562"/>
    <w:rsid w:val="002C4A80"/>
    <w:rsid w:val="002C4C67"/>
    <w:rsid w:val="002C4D9B"/>
    <w:rsid w:val="002C5869"/>
    <w:rsid w:val="002C5CED"/>
    <w:rsid w:val="002C5F59"/>
    <w:rsid w:val="002C6559"/>
    <w:rsid w:val="002C6C12"/>
    <w:rsid w:val="002C6CD3"/>
    <w:rsid w:val="002C6CE4"/>
    <w:rsid w:val="002C7033"/>
    <w:rsid w:val="002C740E"/>
    <w:rsid w:val="002C74EB"/>
    <w:rsid w:val="002D037A"/>
    <w:rsid w:val="002D06EE"/>
    <w:rsid w:val="002D0A0C"/>
    <w:rsid w:val="002D0AE6"/>
    <w:rsid w:val="002D0B0D"/>
    <w:rsid w:val="002D1294"/>
    <w:rsid w:val="002D1480"/>
    <w:rsid w:val="002D1677"/>
    <w:rsid w:val="002D1A7C"/>
    <w:rsid w:val="002D1F0A"/>
    <w:rsid w:val="002D20C2"/>
    <w:rsid w:val="002D2163"/>
    <w:rsid w:val="002D21F2"/>
    <w:rsid w:val="002D2A16"/>
    <w:rsid w:val="002D303A"/>
    <w:rsid w:val="002D375F"/>
    <w:rsid w:val="002D3852"/>
    <w:rsid w:val="002D3D33"/>
    <w:rsid w:val="002D3E2F"/>
    <w:rsid w:val="002D3F1D"/>
    <w:rsid w:val="002D4773"/>
    <w:rsid w:val="002D4D59"/>
    <w:rsid w:val="002D4E9E"/>
    <w:rsid w:val="002D4F30"/>
    <w:rsid w:val="002D5133"/>
    <w:rsid w:val="002D51B1"/>
    <w:rsid w:val="002D5306"/>
    <w:rsid w:val="002D546F"/>
    <w:rsid w:val="002D5721"/>
    <w:rsid w:val="002D57B0"/>
    <w:rsid w:val="002D5D0D"/>
    <w:rsid w:val="002D5EBE"/>
    <w:rsid w:val="002D6065"/>
    <w:rsid w:val="002D633B"/>
    <w:rsid w:val="002D64C2"/>
    <w:rsid w:val="002D67BA"/>
    <w:rsid w:val="002D6F89"/>
    <w:rsid w:val="002D71D7"/>
    <w:rsid w:val="002D73AF"/>
    <w:rsid w:val="002D7907"/>
    <w:rsid w:val="002D7D19"/>
    <w:rsid w:val="002E0023"/>
    <w:rsid w:val="002E0868"/>
    <w:rsid w:val="002E19AC"/>
    <w:rsid w:val="002E24FE"/>
    <w:rsid w:val="002E26E1"/>
    <w:rsid w:val="002E3804"/>
    <w:rsid w:val="002E4685"/>
    <w:rsid w:val="002E4BD1"/>
    <w:rsid w:val="002E4D7E"/>
    <w:rsid w:val="002E5023"/>
    <w:rsid w:val="002E511B"/>
    <w:rsid w:val="002E5289"/>
    <w:rsid w:val="002E58F4"/>
    <w:rsid w:val="002E6320"/>
    <w:rsid w:val="002E7121"/>
    <w:rsid w:val="002E7263"/>
    <w:rsid w:val="002E73C9"/>
    <w:rsid w:val="002E74FB"/>
    <w:rsid w:val="002E78C5"/>
    <w:rsid w:val="002F0475"/>
    <w:rsid w:val="002F0D60"/>
    <w:rsid w:val="002F0E78"/>
    <w:rsid w:val="002F1322"/>
    <w:rsid w:val="002F13F9"/>
    <w:rsid w:val="002F142B"/>
    <w:rsid w:val="002F192F"/>
    <w:rsid w:val="002F19F8"/>
    <w:rsid w:val="002F20C9"/>
    <w:rsid w:val="002F257C"/>
    <w:rsid w:val="002F2AE5"/>
    <w:rsid w:val="002F2BCE"/>
    <w:rsid w:val="002F3C19"/>
    <w:rsid w:val="002F3F37"/>
    <w:rsid w:val="002F49D7"/>
    <w:rsid w:val="002F4B2A"/>
    <w:rsid w:val="002F4D26"/>
    <w:rsid w:val="002F4F10"/>
    <w:rsid w:val="002F50D4"/>
    <w:rsid w:val="002F51BE"/>
    <w:rsid w:val="002F520A"/>
    <w:rsid w:val="002F587B"/>
    <w:rsid w:val="002F5D44"/>
    <w:rsid w:val="002F5E9B"/>
    <w:rsid w:val="002F6260"/>
    <w:rsid w:val="002F6AF0"/>
    <w:rsid w:val="002F6BB2"/>
    <w:rsid w:val="00300C61"/>
    <w:rsid w:val="00300D92"/>
    <w:rsid w:val="00301803"/>
    <w:rsid w:val="00301946"/>
    <w:rsid w:val="00301A73"/>
    <w:rsid w:val="003020D4"/>
    <w:rsid w:val="003027D7"/>
    <w:rsid w:val="00302F99"/>
    <w:rsid w:val="00303161"/>
    <w:rsid w:val="003043D9"/>
    <w:rsid w:val="0030479F"/>
    <w:rsid w:val="0030487F"/>
    <w:rsid w:val="0030504A"/>
    <w:rsid w:val="003055ED"/>
    <w:rsid w:val="0030572B"/>
    <w:rsid w:val="003059F5"/>
    <w:rsid w:val="00305E75"/>
    <w:rsid w:val="003060D9"/>
    <w:rsid w:val="003062AE"/>
    <w:rsid w:val="003062D1"/>
    <w:rsid w:val="003063C1"/>
    <w:rsid w:val="00306809"/>
    <w:rsid w:val="00306E17"/>
    <w:rsid w:val="00306E8D"/>
    <w:rsid w:val="00307626"/>
    <w:rsid w:val="00307CBA"/>
    <w:rsid w:val="00307CEA"/>
    <w:rsid w:val="00310498"/>
    <w:rsid w:val="00310787"/>
    <w:rsid w:val="00310F06"/>
    <w:rsid w:val="00311E55"/>
    <w:rsid w:val="003127A0"/>
    <w:rsid w:val="00312BDA"/>
    <w:rsid w:val="00312E0A"/>
    <w:rsid w:val="00313247"/>
    <w:rsid w:val="0031333E"/>
    <w:rsid w:val="00314165"/>
    <w:rsid w:val="00314BB4"/>
    <w:rsid w:val="00314F79"/>
    <w:rsid w:val="003151B9"/>
    <w:rsid w:val="003159B2"/>
    <w:rsid w:val="00316207"/>
    <w:rsid w:val="00316235"/>
    <w:rsid w:val="003162AE"/>
    <w:rsid w:val="003162EC"/>
    <w:rsid w:val="003163E6"/>
    <w:rsid w:val="00316730"/>
    <w:rsid w:val="003170FB"/>
    <w:rsid w:val="00317882"/>
    <w:rsid w:val="00317D1C"/>
    <w:rsid w:val="00320357"/>
    <w:rsid w:val="003203DE"/>
    <w:rsid w:val="00320603"/>
    <w:rsid w:val="00320697"/>
    <w:rsid w:val="003206FA"/>
    <w:rsid w:val="00321225"/>
    <w:rsid w:val="00321DFC"/>
    <w:rsid w:val="00321E8C"/>
    <w:rsid w:val="00321F64"/>
    <w:rsid w:val="00321FF9"/>
    <w:rsid w:val="003220E9"/>
    <w:rsid w:val="00322BCE"/>
    <w:rsid w:val="00322CC4"/>
    <w:rsid w:val="00322E7E"/>
    <w:rsid w:val="00323483"/>
    <w:rsid w:val="0032372D"/>
    <w:rsid w:val="00323E2F"/>
    <w:rsid w:val="003240E6"/>
    <w:rsid w:val="00324314"/>
    <w:rsid w:val="003258C0"/>
    <w:rsid w:val="00325EB7"/>
    <w:rsid w:val="00326B92"/>
    <w:rsid w:val="00327138"/>
    <w:rsid w:val="00327889"/>
    <w:rsid w:val="00327F85"/>
    <w:rsid w:val="003300B4"/>
    <w:rsid w:val="00330259"/>
    <w:rsid w:val="003308D7"/>
    <w:rsid w:val="00330F38"/>
    <w:rsid w:val="003310E5"/>
    <w:rsid w:val="003311F8"/>
    <w:rsid w:val="00331202"/>
    <w:rsid w:val="003313F5"/>
    <w:rsid w:val="0033181A"/>
    <w:rsid w:val="00331F37"/>
    <w:rsid w:val="0033227E"/>
    <w:rsid w:val="00332635"/>
    <w:rsid w:val="003327F6"/>
    <w:rsid w:val="00332873"/>
    <w:rsid w:val="00332CA7"/>
    <w:rsid w:val="0033332B"/>
    <w:rsid w:val="003334D5"/>
    <w:rsid w:val="003334F2"/>
    <w:rsid w:val="00333A88"/>
    <w:rsid w:val="00333FD5"/>
    <w:rsid w:val="0033416C"/>
    <w:rsid w:val="00334442"/>
    <w:rsid w:val="00334760"/>
    <w:rsid w:val="0033512F"/>
    <w:rsid w:val="00335646"/>
    <w:rsid w:val="00335919"/>
    <w:rsid w:val="00335A0F"/>
    <w:rsid w:val="00335AC4"/>
    <w:rsid w:val="00335C97"/>
    <w:rsid w:val="00335EFE"/>
    <w:rsid w:val="003366C4"/>
    <w:rsid w:val="00336996"/>
    <w:rsid w:val="00336CCF"/>
    <w:rsid w:val="00337120"/>
    <w:rsid w:val="00337851"/>
    <w:rsid w:val="00337B39"/>
    <w:rsid w:val="00340334"/>
    <w:rsid w:val="00340E41"/>
    <w:rsid w:val="003413ED"/>
    <w:rsid w:val="0034155C"/>
    <w:rsid w:val="0034197A"/>
    <w:rsid w:val="00341D6A"/>
    <w:rsid w:val="00341E49"/>
    <w:rsid w:val="00342226"/>
    <w:rsid w:val="00342A31"/>
    <w:rsid w:val="00342B68"/>
    <w:rsid w:val="00343508"/>
    <w:rsid w:val="00343C5D"/>
    <w:rsid w:val="00343E49"/>
    <w:rsid w:val="0034420B"/>
    <w:rsid w:val="00344517"/>
    <w:rsid w:val="0034488F"/>
    <w:rsid w:val="003448FB"/>
    <w:rsid w:val="00344B21"/>
    <w:rsid w:val="00344E27"/>
    <w:rsid w:val="00344EF7"/>
    <w:rsid w:val="003450F9"/>
    <w:rsid w:val="003453B8"/>
    <w:rsid w:val="003458C0"/>
    <w:rsid w:val="00345F5A"/>
    <w:rsid w:val="00346047"/>
    <w:rsid w:val="003466F0"/>
    <w:rsid w:val="00346B2A"/>
    <w:rsid w:val="00346F35"/>
    <w:rsid w:val="00347123"/>
    <w:rsid w:val="0034772F"/>
    <w:rsid w:val="00347ABD"/>
    <w:rsid w:val="00347CD9"/>
    <w:rsid w:val="00347D04"/>
    <w:rsid w:val="00350492"/>
    <w:rsid w:val="00350C86"/>
    <w:rsid w:val="00350CE6"/>
    <w:rsid w:val="0035156D"/>
    <w:rsid w:val="003517DE"/>
    <w:rsid w:val="00352415"/>
    <w:rsid w:val="0035260A"/>
    <w:rsid w:val="003527E8"/>
    <w:rsid w:val="00352903"/>
    <w:rsid w:val="00352AA3"/>
    <w:rsid w:val="00352B94"/>
    <w:rsid w:val="00353387"/>
    <w:rsid w:val="00353574"/>
    <w:rsid w:val="0035369E"/>
    <w:rsid w:val="00353820"/>
    <w:rsid w:val="003545E3"/>
    <w:rsid w:val="00354602"/>
    <w:rsid w:val="003546C0"/>
    <w:rsid w:val="00355257"/>
    <w:rsid w:val="003557A9"/>
    <w:rsid w:val="00355BA6"/>
    <w:rsid w:val="00355E55"/>
    <w:rsid w:val="00356517"/>
    <w:rsid w:val="00356B6C"/>
    <w:rsid w:val="00357304"/>
    <w:rsid w:val="003577F9"/>
    <w:rsid w:val="00357FF0"/>
    <w:rsid w:val="0036048F"/>
    <w:rsid w:val="00360BCE"/>
    <w:rsid w:val="00360C3E"/>
    <w:rsid w:val="00360FBB"/>
    <w:rsid w:val="00361ACE"/>
    <w:rsid w:val="00361AE2"/>
    <w:rsid w:val="00362011"/>
    <w:rsid w:val="0036206E"/>
    <w:rsid w:val="003624F8"/>
    <w:rsid w:val="00362ADB"/>
    <w:rsid w:val="00362BCF"/>
    <w:rsid w:val="00362BF0"/>
    <w:rsid w:val="00362C07"/>
    <w:rsid w:val="0036336A"/>
    <w:rsid w:val="0036430E"/>
    <w:rsid w:val="00364365"/>
    <w:rsid w:val="00364809"/>
    <w:rsid w:val="00364F6E"/>
    <w:rsid w:val="00364FC3"/>
    <w:rsid w:val="00365948"/>
    <w:rsid w:val="00365B11"/>
    <w:rsid w:val="00365CFC"/>
    <w:rsid w:val="00365CFF"/>
    <w:rsid w:val="00365DD4"/>
    <w:rsid w:val="0036652A"/>
    <w:rsid w:val="003668F7"/>
    <w:rsid w:val="003669F6"/>
    <w:rsid w:val="00366F46"/>
    <w:rsid w:val="00367023"/>
    <w:rsid w:val="003670E6"/>
    <w:rsid w:val="00367552"/>
    <w:rsid w:val="003677B4"/>
    <w:rsid w:val="0036796F"/>
    <w:rsid w:val="00367DF3"/>
    <w:rsid w:val="003706D3"/>
    <w:rsid w:val="003707E9"/>
    <w:rsid w:val="00370ACF"/>
    <w:rsid w:val="00370C87"/>
    <w:rsid w:val="00370D2A"/>
    <w:rsid w:val="00371185"/>
    <w:rsid w:val="00371358"/>
    <w:rsid w:val="0037137C"/>
    <w:rsid w:val="00371678"/>
    <w:rsid w:val="00371ADE"/>
    <w:rsid w:val="00372270"/>
    <w:rsid w:val="00372969"/>
    <w:rsid w:val="00372FCB"/>
    <w:rsid w:val="003732BD"/>
    <w:rsid w:val="00373559"/>
    <w:rsid w:val="00373784"/>
    <w:rsid w:val="00374193"/>
    <w:rsid w:val="00374600"/>
    <w:rsid w:val="00374719"/>
    <w:rsid w:val="00374930"/>
    <w:rsid w:val="00374A8B"/>
    <w:rsid w:val="00374CCA"/>
    <w:rsid w:val="00374DFF"/>
    <w:rsid w:val="00375903"/>
    <w:rsid w:val="0037596F"/>
    <w:rsid w:val="00375BD0"/>
    <w:rsid w:val="00375C71"/>
    <w:rsid w:val="0037613A"/>
    <w:rsid w:val="00376C2A"/>
    <w:rsid w:val="00376F24"/>
    <w:rsid w:val="00377519"/>
    <w:rsid w:val="003775BA"/>
    <w:rsid w:val="00377692"/>
    <w:rsid w:val="003776A1"/>
    <w:rsid w:val="00377805"/>
    <w:rsid w:val="00377D97"/>
    <w:rsid w:val="003806B8"/>
    <w:rsid w:val="00380D82"/>
    <w:rsid w:val="0038102B"/>
    <w:rsid w:val="003810D5"/>
    <w:rsid w:val="003811D2"/>
    <w:rsid w:val="0038121E"/>
    <w:rsid w:val="003812BC"/>
    <w:rsid w:val="00381324"/>
    <w:rsid w:val="003815A0"/>
    <w:rsid w:val="00381799"/>
    <w:rsid w:val="0038249D"/>
    <w:rsid w:val="00382A8B"/>
    <w:rsid w:val="00382D46"/>
    <w:rsid w:val="00383FE5"/>
    <w:rsid w:val="00384628"/>
    <w:rsid w:val="003846B0"/>
    <w:rsid w:val="00384B11"/>
    <w:rsid w:val="0038503F"/>
    <w:rsid w:val="00385C1C"/>
    <w:rsid w:val="00385C1E"/>
    <w:rsid w:val="00386380"/>
    <w:rsid w:val="003869FA"/>
    <w:rsid w:val="00386C3C"/>
    <w:rsid w:val="00386CD1"/>
    <w:rsid w:val="00386CF2"/>
    <w:rsid w:val="003872AB"/>
    <w:rsid w:val="00387688"/>
    <w:rsid w:val="00387BE3"/>
    <w:rsid w:val="0039076F"/>
    <w:rsid w:val="00390EE5"/>
    <w:rsid w:val="00391131"/>
    <w:rsid w:val="00391295"/>
    <w:rsid w:val="00391441"/>
    <w:rsid w:val="003918B2"/>
    <w:rsid w:val="00391B8A"/>
    <w:rsid w:val="00391D7E"/>
    <w:rsid w:val="0039235A"/>
    <w:rsid w:val="003926DB"/>
    <w:rsid w:val="00392905"/>
    <w:rsid w:val="00392B4D"/>
    <w:rsid w:val="00392FFE"/>
    <w:rsid w:val="003933C4"/>
    <w:rsid w:val="003933FF"/>
    <w:rsid w:val="00393656"/>
    <w:rsid w:val="00393A40"/>
    <w:rsid w:val="00393EF3"/>
    <w:rsid w:val="00394431"/>
    <w:rsid w:val="00394496"/>
    <w:rsid w:val="00395129"/>
    <w:rsid w:val="003955B5"/>
    <w:rsid w:val="00395AEE"/>
    <w:rsid w:val="003960EF"/>
    <w:rsid w:val="00396578"/>
    <w:rsid w:val="0039691E"/>
    <w:rsid w:val="00396F72"/>
    <w:rsid w:val="003971A4"/>
    <w:rsid w:val="00397711"/>
    <w:rsid w:val="003977F4"/>
    <w:rsid w:val="003979BC"/>
    <w:rsid w:val="00397B76"/>
    <w:rsid w:val="003A0024"/>
    <w:rsid w:val="003A0054"/>
    <w:rsid w:val="003A08C7"/>
    <w:rsid w:val="003A0983"/>
    <w:rsid w:val="003A0A7C"/>
    <w:rsid w:val="003A0C59"/>
    <w:rsid w:val="003A0F81"/>
    <w:rsid w:val="003A174C"/>
    <w:rsid w:val="003A1A12"/>
    <w:rsid w:val="003A1FE8"/>
    <w:rsid w:val="003A2532"/>
    <w:rsid w:val="003A2C1E"/>
    <w:rsid w:val="003A2EE3"/>
    <w:rsid w:val="003A31BC"/>
    <w:rsid w:val="003A36D0"/>
    <w:rsid w:val="003A3CC5"/>
    <w:rsid w:val="003A3D24"/>
    <w:rsid w:val="003A3E38"/>
    <w:rsid w:val="003A3F15"/>
    <w:rsid w:val="003A44A4"/>
    <w:rsid w:val="003A47ED"/>
    <w:rsid w:val="003A4AC7"/>
    <w:rsid w:val="003A4C27"/>
    <w:rsid w:val="003A4EB3"/>
    <w:rsid w:val="003A5459"/>
    <w:rsid w:val="003A59D8"/>
    <w:rsid w:val="003A5C27"/>
    <w:rsid w:val="003A5E15"/>
    <w:rsid w:val="003A6296"/>
    <w:rsid w:val="003A6717"/>
    <w:rsid w:val="003A774E"/>
    <w:rsid w:val="003A7B89"/>
    <w:rsid w:val="003B00C8"/>
    <w:rsid w:val="003B0481"/>
    <w:rsid w:val="003B0539"/>
    <w:rsid w:val="003B08D1"/>
    <w:rsid w:val="003B09F2"/>
    <w:rsid w:val="003B23EF"/>
    <w:rsid w:val="003B24E5"/>
    <w:rsid w:val="003B2FA2"/>
    <w:rsid w:val="003B3447"/>
    <w:rsid w:val="003B35BB"/>
    <w:rsid w:val="003B386F"/>
    <w:rsid w:val="003B405F"/>
    <w:rsid w:val="003B410C"/>
    <w:rsid w:val="003B4447"/>
    <w:rsid w:val="003B49F9"/>
    <w:rsid w:val="003B4FF7"/>
    <w:rsid w:val="003B5181"/>
    <w:rsid w:val="003B5655"/>
    <w:rsid w:val="003B5D22"/>
    <w:rsid w:val="003B60EE"/>
    <w:rsid w:val="003B6611"/>
    <w:rsid w:val="003B7406"/>
    <w:rsid w:val="003B76F2"/>
    <w:rsid w:val="003B7AD5"/>
    <w:rsid w:val="003B7BF3"/>
    <w:rsid w:val="003B7E11"/>
    <w:rsid w:val="003C06CB"/>
    <w:rsid w:val="003C0B15"/>
    <w:rsid w:val="003C0C14"/>
    <w:rsid w:val="003C0C2F"/>
    <w:rsid w:val="003C128D"/>
    <w:rsid w:val="003C14DF"/>
    <w:rsid w:val="003C16DE"/>
    <w:rsid w:val="003C2052"/>
    <w:rsid w:val="003C2277"/>
    <w:rsid w:val="003C2884"/>
    <w:rsid w:val="003C29D7"/>
    <w:rsid w:val="003C3022"/>
    <w:rsid w:val="003C33EF"/>
    <w:rsid w:val="003C3712"/>
    <w:rsid w:val="003C4970"/>
    <w:rsid w:val="003C4C72"/>
    <w:rsid w:val="003C4CB8"/>
    <w:rsid w:val="003C4CD6"/>
    <w:rsid w:val="003C518F"/>
    <w:rsid w:val="003C569D"/>
    <w:rsid w:val="003C5729"/>
    <w:rsid w:val="003C5AC5"/>
    <w:rsid w:val="003C614D"/>
    <w:rsid w:val="003C6ADC"/>
    <w:rsid w:val="003C6CB3"/>
    <w:rsid w:val="003C6D96"/>
    <w:rsid w:val="003C6FA1"/>
    <w:rsid w:val="003C71E4"/>
    <w:rsid w:val="003C7579"/>
    <w:rsid w:val="003C7A69"/>
    <w:rsid w:val="003C7A89"/>
    <w:rsid w:val="003C7BF6"/>
    <w:rsid w:val="003C7CCD"/>
    <w:rsid w:val="003C7DE1"/>
    <w:rsid w:val="003D0248"/>
    <w:rsid w:val="003D0A64"/>
    <w:rsid w:val="003D0A68"/>
    <w:rsid w:val="003D0A77"/>
    <w:rsid w:val="003D0A78"/>
    <w:rsid w:val="003D0AE6"/>
    <w:rsid w:val="003D0B22"/>
    <w:rsid w:val="003D109A"/>
    <w:rsid w:val="003D10EC"/>
    <w:rsid w:val="003D1405"/>
    <w:rsid w:val="003D15AE"/>
    <w:rsid w:val="003D1995"/>
    <w:rsid w:val="003D2274"/>
    <w:rsid w:val="003D2E2C"/>
    <w:rsid w:val="003D3289"/>
    <w:rsid w:val="003D3C4A"/>
    <w:rsid w:val="003D3D93"/>
    <w:rsid w:val="003D3E1C"/>
    <w:rsid w:val="003D44B7"/>
    <w:rsid w:val="003D473C"/>
    <w:rsid w:val="003D4BA8"/>
    <w:rsid w:val="003D4D29"/>
    <w:rsid w:val="003D52FD"/>
    <w:rsid w:val="003D553E"/>
    <w:rsid w:val="003D584B"/>
    <w:rsid w:val="003D5EA8"/>
    <w:rsid w:val="003D61BF"/>
    <w:rsid w:val="003D61FE"/>
    <w:rsid w:val="003D6846"/>
    <w:rsid w:val="003D6FB9"/>
    <w:rsid w:val="003D7176"/>
    <w:rsid w:val="003D754E"/>
    <w:rsid w:val="003D7666"/>
    <w:rsid w:val="003E02E2"/>
    <w:rsid w:val="003E0552"/>
    <w:rsid w:val="003E10B4"/>
    <w:rsid w:val="003E120B"/>
    <w:rsid w:val="003E1953"/>
    <w:rsid w:val="003E22C4"/>
    <w:rsid w:val="003E2AA5"/>
    <w:rsid w:val="003E2CD7"/>
    <w:rsid w:val="003E3397"/>
    <w:rsid w:val="003E37B7"/>
    <w:rsid w:val="003E3841"/>
    <w:rsid w:val="003E3E7A"/>
    <w:rsid w:val="003E4254"/>
    <w:rsid w:val="003E4863"/>
    <w:rsid w:val="003E4A07"/>
    <w:rsid w:val="003E4A21"/>
    <w:rsid w:val="003E4A25"/>
    <w:rsid w:val="003E4A3A"/>
    <w:rsid w:val="003E4AC6"/>
    <w:rsid w:val="003E4B10"/>
    <w:rsid w:val="003E5530"/>
    <w:rsid w:val="003E5647"/>
    <w:rsid w:val="003E5A94"/>
    <w:rsid w:val="003E5E46"/>
    <w:rsid w:val="003E678C"/>
    <w:rsid w:val="003E687D"/>
    <w:rsid w:val="003E6A76"/>
    <w:rsid w:val="003E6CFE"/>
    <w:rsid w:val="003E726D"/>
    <w:rsid w:val="003E7B7B"/>
    <w:rsid w:val="003E7CB3"/>
    <w:rsid w:val="003F05D5"/>
    <w:rsid w:val="003F0C04"/>
    <w:rsid w:val="003F0CEF"/>
    <w:rsid w:val="003F1207"/>
    <w:rsid w:val="003F16A4"/>
    <w:rsid w:val="003F1B74"/>
    <w:rsid w:val="003F1CD0"/>
    <w:rsid w:val="003F28CF"/>
    <w:rsid w:val="003F3182"/>
    <w:rsid w:val="003F3215"/>
    <w:rsid w:val="003F3406"/>
    <w:rsid w:val="003F368C"/>
    <w:rsid w:val="003F385F"/>
    <w:rsid w:val="003F39AF"/>
    <w:rsid w:val="003F3A9C"/>
    <w:rsid w:val="003F3D70"/>
    <w:rsid w:val="003F50FE"/>
    <w:rsid w:val="003F6353"/>
    <w:rsid w:val="003F6757"/>
    <w:rsid w:val="003F6923"/>
    <w:rsid w:val="003F6AA7"/>
    <w:rsid w:val="003F6CAB"/>
    <w:rsid w:val="003F6CCF"/>
    <w:rsid w:val="003F7605"/>
    <w:rsid w:val="003F7633"/>
    <w:rsid w:val="0040065E"/>
    <w:rsid w:val="00400FFE"/>
    <w:rsid w:val="004011FE"/>
    <w:rsid w:val="0040166D"/>
    <w:rsid w:val="00401B97"/>
    <w:rsid w:val="00401CDD"/>
    <w:rsid w:val="0040203F"/>
    <w:rsid w:val="00402155"/>
    <w:rsid w:val="00402578"/>
    <w:rsid w:val="00402C52"/>
    <w:rsid w:val="00403976"/>
    <w:rsid w:val="00403B08"/>
    <w:rsid w:val="00403BE1"/>
    <w:rsid w:val="00403C97"/>
    <w:rsid w:val="004043DF"/>
    <w:rsid w:val="0040492B"/>
    <w:rsid w:val="0040522D"/>
    <w:rsid w:val="00405287"/>
    <w:rsid w:val="0040542A"/>
    <w:rsid w:val="00405E37"/>
    <w:rsid w:val="004061D2"/>
    <w:rsid w:val="0040688D"/>
    <w:rsid w:val="00406989"/>
    <w:rsid w:val="00406E3A"/>
    <w:rsid w:val="004074B1"/>
    <w:rsid w:val="004074C0"/>
    <w:rsid w:val="00407621"/>
    <w:rsid w:val="0040764E"/>
    <w:rsid w:val="004100DC"/>
    <w:rsid w:val="004101BD"/>
    <w:rsid w:val="0041025E"/>
    <w:rsid w:val="004104A0"/>
    <w:rsid w:val="0041093C"/>
    <w:rsid w:val="00411586"/>
    <w:rsid w:val="00411779"/>
    <w:rsid w:val="00411D8A"/>
    <w:rsid w:val="00412082"/>
    <w:rsid w:val="00412520"/>
    <w:rsid w:val="00412E49"/>
    <w:rsid w:val="004131A6"/>
    <w:rsid w:val="004134B0"/>
    <w:rsid w:val="0041361D"/>
    <w:rsid w:val="004137D2"/>
    <w:rsid w:val="00413DA6"/>
    <w:rsid w:val="00413E1E"/>
    <w:rsid w:val="00414549"/>
    <w:rsid w:val="0041454F"/>
    <w:rsid w:val="00414DCD"/>
    <w:rsid w:val="00415099"/>
    <w:rsid w:val="0041566C"/>
    <w:rsid w:val="00415C00"/>
    <w:rsid w:val="004160DA"/>
    <w:rsid w:val="004163DC"/>
    <w:rsid w:val="00416502"/>
    <w:rsid w:val="0041673F"/>
    <w:rsid w:val="004168EB"/>
    <w:rsid w:val="00416FC9"/>
    <w:rsid w:val="0041794A"/>
    <w:rsid w:val="00417D1E"/>
    <w:rsid w:val="0042009B"/>
    <w:rsid w:val="00420199"/>
    <w:rsid w:val="004203E7"/>
    <w:rsid w:val="004213E2"/>
    <w:rsid w:val="00421B9F"/>
    <w:rsid w:val="00421D74"/>
    <w:rsid w:val="0042243A"/>
    <w:rsid w:val="004224A4"/>
    <w:rsid w:val="00422605"/>
    <w:rsid w:val="00422849"/>
    <w:rsid w:val="00422A18"/>
    <w:rsid w:val="004232B4"/>
    <w:rsid w:val="004236EC"/>
    <w:rsid w:val="00423CB0"/>
    <w:rsid w:val="00423D7A"/>
    <w:rsid w:val="00424050"/>
    <w:rsid w:val="00424897"/>
    <w:rsid w:val="00425307"/>
    <w:rsid w:val="0042596B"/>
    <w:rsid w:val="004260B8"/>
    <w:rsid w:val="00426E87"/>
    <w:rsid w:val="0042711C"/>
    <w:rsid w:val="004271D6"/>
    <w:rsid w:val="00427BB9"/>
    <w:rsid w:val="0043074D"/>
    <w:rsid w:val="00430795"/>
    <w:rsid w:val="004308CA"/>
    <w:rsid w:val="004308DA"/>
    <w:rsid w:val="00430AE1"/>
    <w:rsid w:val="00430B48"/>
    <w:rsid w:val="00430F1E"/>
    <w:rsid w:val="00431005"/>
    <w:rsid w:val="0043192C"/>
    <w:rsid w:val="0043221F"/>
    <w:rsid w:val="00432306"/>
    <w:rsid w:val="00432550"/>
    <w:rsid w:val="00432557"/>
    <w:rsid w:val="00432F52"/>
    <w:rsid w:val="004330B4"/>
    <w:rsid w:val="00433ABA"/>
    <w:rsid w:val="00434541"/>
    <w:rsid w:val="00435298"/>
    <w:rsid w:val="00435EDC"/>
    <w:rsid w:val="0043661C"/>
    <w:rsid w:val="00436729"/>
    <w:rsid w:val="004367EC"/>
    <w:rsid w:val="004368CF"/>
    <w:rsid w:val="00436DA7"/>
    <w:rsid w:val="00436F2B"/>
    <w:rsid w:val="004378C1"/>
    <w:rsid w:val="00437D0D"/>
    <w:rsid w:val="00440421"/>
    <w:rsid w:val="004405DA"/>
    <w:rsid w:val="004406D9"/>
    <w:rsid w:val="00440721"/>
    <w:rsid w:val="004411E3"/>
    <w:rsid w:val="00441298"/>
    <w:rsid w:val="004412D1"/>
    <w:rsid w:val="00441608"/>
    <w:rsid w:val="00441860"/>
    <w:rsid w:val="00441F73"/>
    <w:rsid w:val="00442383"/>
    <w:rsid w:val="004425B1"/>
    <w:rsid w:val="00442CEB"/>
    <w:rsid w:val="00443974"/>
    <w:rsid w:val="00443E94"/>
    <w:rsid w:val="00444212"/>
    <w:rsid w:val="0044471B"/>
    <w:rsid w:val="004449E0"/>
    <w:rsid w:val="00445501"/>
    <w:rsid w:val="0044660B"/>
    <w:rsid w:val="0044668A"/>
    <w:rsid w:val="00446AAF"/>
    <w:rsid w:val="004472E3"/>
    <w:rsid w:val="00447B4B"/>
    <w:rsid w:val="00447E52"/>
    <w:rsid w:val="00450132"/>
    <w:rsid w:val="00450A80"/>
    <w:rsid w:val="00450C1D"/>
    <w:rsid w:val="004512F6"/>
    <w:rsid w:val="00451650"/>
    <w:rsid w:val="004516D2"/>
    <w:rsid w:val="00451913"/>
    <w:rsid w:val="00451DE2"/>
    <w:rsid w:val="00451EB4"/>
    <w:rsid w:val="00451F41"/>
    <w:rsid w:val="004535D6"/>
    <w:rsid w:val="00453E15"/>
    <w:rsid w:val="004545C0"/>
    <w:rsid w:val="004550A6"/>
    <w:rsid w:val="00455239"/>
    <w:rsid w:val="004559F5"/>
    <w:rsid w:val="0045612C"/>
    <w:rsid w:val="004562C8"/>
    <w:rsid w:val="00456417"/>
    <w:rsid w:val="004565AA"/>
    <w:rsid w:val="00456740"/>
    <w:rsid w:val="00456CEE"/>
    <w:rsid w:val="00456EED"/>
    <w:rsid w:val="004570BD"/>
    <w:rsid w:val="004573BD"/>
    <w:rsid w:val="004576D8"/>
    <w:rsid w:val="00457C67"/>
    <w:rsid w:val="00457EF3"/>
    <w:rsid w:val="004608EC"/>
    <w:rsid w:val="00460AF9"/>
    <w:rsid w:val="00460D26"/>
    <w:rsid w:val="004612F9"/>
    <w:rsid w:val="004614A7"/>
    <w:rsid w:val="00461D14"/>
    <w:rsid w:val="00461E37"/>
    <w:rsid w:val="004620D4"/>
    <w:rsid w:val="004624F6"/>
    <w:rsid w:val="004625FC"/>
    <w:rsid w:val="004626B5"/>
    <w:rsid w:val="00462797"/>
    <w:rsid w:val="00462858"/>
    <w:rsid w:val="00462B1C"/>
    <w:rsid w:val="004635EE"/>
    <w:rsid w:val="004642E1"/>
    <w:rsid w:val="00464B62"/>
    <w:rsid w:val="004651DB"/>
    <w:rsid w:val="00465498"/>
    <w:rsid w:val="00465C94"/>
    <w:rsid w:val="00465CBC"/>
    <w:rsid w:val="00465CFC"/>
    <w:rsid w:val="00465E6E"/>
    <w:rsid w:val="00466100"/>
    <w:rsid w:val="00466BB0"/>
    <w:rsid w:val="004671B5"/>
    <w:rsid w:val="004674A2"/>
    <w:rsid w:val="0046764B"/>
    <w:rsid w:val="00467978"/>
    <w:rsid w:val="00467C9A"/>
    <w:rsid w:val="004701CA"/>
    <w:rsid w:val="004705BA"/>
    <w:rsid w:val="004707C4"/>
    <w:rsid w:val="004709BC"/>
    <w:rsid w:val="00470BC6"/>
    <w:rsid w:val="00470D72"/>
    <w:rsid w:val="00471181"/>
    <w:rsid w:val="004717E6"/>
    <w:rsid w:val="00471904"/>
    <w:rsid w:val="00471BB5"/>
    <w:rsid w:val="00471E61"/>
    <w:rsid w:val="00471EFA"/>
    <w:rsid w:val="00472816"/>
    <w:rsid w:val="00472CA9"/>
    <w:rsid w:val="00472FC7"/>
    <w:rsid w:val="00473254"/>
    <w:rsid w:val="00473348"/>
    <w:rsid w:val="004738ED"/>
    <w:rsid w:val="00473EC4"/>
    <w:rsid w:val="00473FDB"/>
    <w:rsid w:val="00474157"/>
    <w:rsid w:val="00474A3D"/>
    <w:rsid w:val="00474BAA"/>
    <w:rsid w:val="00474CE4"/>
    <w:rsid w:val="00474DDB"/>
    <w:rsid w:val="00475544"/>
    <w:rsid w:val="00475656"/>
    <w:rsid w:val="00475F3A"/>
    <w:rsid w:val="0047604C"/>
    <w:rsid w:val="004769A8"/>
    <w:rsid w:val="00476FD5"/>
    <w:rsid w:val="004773D4"/>
    <w:rsid w:val="00477BF0"/>
    <w:rsid w:val="00477F73"/>
    <w:rsid w:val="004809E9"/>
    <w:rsid w:val="00480F96"/>
    <w:rsid w:val="004810BC"/>
    <w:rsid w:val="004811B1"/>
    <w:rsid w:val="00481366"/>
    <w:rsid w:val="00481AC5"/>
    <w:rsid w:val="00481FD2"/>
    <w:rsid w:val="00482032"/>
    <w:rsid w:val="00482123"/>
    <w:rsid w:val="00482192"/>
    <w:rsid w:val="00482A82"/>
    <w:rsid w:val="00482EEF"/>
    <w:rsid w:val="004831BB"/>
    <w:rsid w:val="004831F5"/>
    <w:rsid w:val="00483D90"/>
    <w:rsid w:val="004841AE"/>
    <w:rsid w:val="0048461E"/>
    <w:rsid w:val="00484672"/>
    <w:rsid w:val="004846B4"/>
    <w:rsid w:val="00484A6D"/>
    <w:rsid w:val="00484B00"/>
    <w:rsid w:val="00484E51"/>
    <w:rsid w:val="00485264"/>
    <w:rsid w:val="00485711"/>
    <w:rsid w:val="00485AC4"/>
    <w:rsid w:val="00486361"/>
    <w:rsid w:val="0048643A"/>
    <w:rsid w:val="00486832"/>
    <w:rsid w:val="00486860"/>
    <w:rsid w:val="004875B7"/>
    <w:rsid w:val="004877CB"/>
    <w:rsid w:val="00487CF5"/>
    <w:rsid w:val="004901E2"/>
    <w:rsid w:val="00490251"/>
    <w:rsid w:val="00490645"/>
    <w:rsid w:val="004908EF"/>
    <w:rsid w:val="00490DA4"/>
    <w:rsid w:val="00490FDE"/>
    <w:rsid w:val="0049111B"/>
    <w:rsid w:val="0049113B"/>
    <w:rsid w:val="004928D2"/>
    <w:rsid w:val="00492958"/>
    <w:rsid w:val="004929AD"/>
    <w:rsid w:val="00492AB8"/>
    <w:rsid w:val="00492AE7"/>
    <w:rsid w:val="004936AB"/>
    <w:rsid w:val="004943BF"/>
    <w:rsid w:val="00494604"/>
    <w:rsid w:val="004947F7"/>
    <w:rsid w:val="00494A5C"/>
    <w:rsid w:val="00494F32"/>
    <w:rsid w:val="00495030"/>
    <w:rsid w:val="0049551A"/>
    <w:rsid w:val="0049565E"/>
    <w:rsid w:val="00495791"/>
    <w:rsid w:val="004957BE"/>
    <w:rsid w:val="00496161"/>
    <w:rsid w:val="004963AD"/>
    <w:rsid w:val="004965B5"/>
    <w:rsid w:val="00496BBC"/>
    <w:rsid w:val="00497654"/>
    <w:rsid w:val="00497B4F"/>
    <w:rsid w:val="004A01E2"/>
    <w:rsid w:val="004A0415"/>
    <w:rsid w:val="004A0E58"/>
    <w:rsid w:val="004A1908"/>
    <w:rsid w:val="004A208A"/>
    <w:rsid w:val="004A211F"/>
    <w:rsid w:val="004A2B52"/>
    <w:rsid w:val="004A2DC2"/>
    <w:rsid w:val="004A303A"/>
    <w:rsid w:val="004A3797"/>
    <w:rsid w:val="004A45EB"/>
    <w:rsid w:val="004A4648"/>
    <w:rsid w:val="004A5154"/>
    <w:rsid w:val="004A5454"/>
    <w:rsid w:val="004A5619"/>
    <w:rsid w:val="004A565D"/>
    <w:rsid w:val="004A5839"/>
    <w:rsid w:val="004A5FF3"/>
    <w:rsid w:val="004A6545"/>
    <w:rsid w:val="004A6593"/>
    <w:rsid w:val="004A6C73"/>
    <w:rsid w:val="004A713F"/>
    <w:rsid w:val="004A71BF"/>
    <w:rsid w:val="004A7246"/>
    <w:rsid w:val="004A74BD"/>
    <w:rsid w:val="004A79B7"/>
    <w:rsid w:val="004A7C61"/>
    <w:rsid w:val="004A7DC7"/>
    <w:rsid w:val="004A7F5C"/>
    <w:rsid w:val="004B04EA"/>
    <w:rsid w:val="004B06DE"/>
    <w:rsid w:val="004B0790"/>
    <w:rsid w:val="004B0943"/>
    <w:rsid w:val="004B0DC2"/>
    <w:rsid w:val="004B136C"/>
    <w:rsid w:val="004B152E"/>
    <w:rsid w:val="004B1A72"/>
    <w:rsid w:val="004B24FC"/>
    <w:rsid w:val="004B26C7"/>
    <w:rsid w:val="004B292C"/>
    <w:rsid w:val="004B2EE9"/>
    <w:rsid w:val="004B3002"/>
    <w:rsid w:val="004B4342"/>
    <w:rsid w:val="004B434C"/>
    <w:rsid w:val="004B4A3A"/>
    <w:rsid w:val="004B4B81"/>
    <w:rsid w:val="004B4BB2"/>
    <w:rsid w:val="004B4E9A"/>
    <w:rsid w:val="004B4E9E"/>
    <w:rsid w:val="004B53C8"/>
    <w:rsid w:val="004B54EC"/>
    <w:rsid w:val="004B593B"/>
    <w:rsid w:val="004B651E"/>
    <w:rsid w:val="004B652E"/>
    <w:rsid w:val="004B674D"/>
    <w:rsid w:val="004B6CC6"/>
    <w:rsid w:val="004B6D0B"/>
    <w:rsid w:val="004B6F20"/>
    <w:rsid w:val="004B74C5"/>
    <w:rsid w:val="004B74F3"/>
    <w:rsid w:val="004B7BD7"/>
    <w:rsid w:val="004B7C3B"/>
    <w:rsid w:val="004C0417"/>
    <w:rsid w:val="004C0D1A"/>
    <w:rsid w:val="004C170F"/>
    <w:rsid w:val="004C1A53"/>
    <w:rsid w:val="004C1C82"/>
    <w:rsid w:val="004C2220"/>
    <w:rsid w:val="004C2854"/>
    <w:rsid w:val="004C28A0"/>
    <w:rsid w:val="004C30CE"/>
    <w:rsid w:val="004C396F"/>
    <w:rsid w:val="004C40D4"/>
    <w:rsid w:val="004C49B7"/>
    <w:rsid w:val="004C4ABB"/>
    <w:rsid w:val="004C4C6B"/>
    <w:rsid w:val="004C4EE7"/>
    <w:rsid w:val="004C54B0"/>
    <w:rsid w:val="004C583E"/>
    <w:rsid w:val="004C5EA7"/>
    <w:rsid w:val="004C5F63"/>
    <w:rsid w:val="004C6143"/>
    <w:rsid w:val="004C63D5"/>
    <w:rsid w:val="004C6C9C"/>
    <w:rsid w:val="004C6DB8"/>
    <w:rsid w:val="004C7580"/>
    <w:rsid w:val="004C7A49"/>
    <w:rsid w:val="004C7BF3"/>
    <w:rsid w:val="004C7FD4"/>
    <w:rsid w:val="004D1235"/>
    <w:rsid w:val="004D12F9"/>
    <w:rsid w:val="004D1D3C"/>
    <w:rsid w:val="004D1E8B"/>
    <w:rsid w:val="004D1F2D"/>
    <w:rsid w:val="004D1FF0"/>
    <w:rsid w:val="004D22D6"/>
    <w:rsid w:val="004D2615"/>
    <w:rsid w:val="004D387A"/>
    <w:rsid w:val="004D3B06"/>
    <w:rsid w:val="004D3B28"/>
    <w:rsid w:val="004D3F30"/>
    <w:rsid w:val="004D436E"/>
    <w:rsid w:val="004D4419"/>
    <w:rsid w:val="004D46BD"/>
    <w:rsid w:val="004D47BF"/>
    <w:rsid w:val="004D4D2D"/>
    <w:rsid w:val="004D586A"/>
    <w:rsid w:val="004D5896"/>
    <w:rsid w:val="004D5987"/>
    <w:rsid w:val="004D5D99"/>
    <w:rsid w:val="004D6426"/>
    <w:rsid w:val="004D66FF"/>
    <w:rsid w:val="004D70F3"/>
    <w:rsid w:val="004D7582"/>
    <w:rsid w:val="004D75FA"/>
    <w:rsid w:val="004D783E"/>
    <w:rsid w:val="004E001D"/>
    <w:rsid w:val="004E01E9"/>
    <w:rsid w:val="004E0AEB"/>
    <w:rsid w:val="004E0D6C"/>
    <w:rsid w:val="004E1907"/>
    <w:rsid w:val="004E1AF8"/>
    <w:rsid w:val="004E1B98"/>
    <w:rsid w:val="004E2249"/>
    <w:rsid w:val="004E244E"/>
    <w:rsid w:val="004E2814"/>
    <w:rsid w:val="004E382F"/>
    <w:rsid w:val="004E3860"/>
    <w:rsid w:val="004E387A"/>
    <w:rsid w:val="004E3DA4"/>
    <w:rsid w:val="004E4BF1"/>
    <w:rsid w:val="004E4DD4"/>
    <w:rsid w:val="004E5349"/>
    <w:rsid w:val="004E5648"/>
    <w:rsid w:val="004E56BF"/>
    <w:rsid w:val="004E58CA"/>
    <w:rsid w:val="004E58DF"/>
    <w:rsid w:val="004E5C87"/>
    <w:rsid w:val="004E5E4D"/>
    <w:rsid w:val="004E6642"/>
    <w:rsid w:val="004E665A"/>
    <w:rsid w:val="004E6A93"/>
    <w:rsid w:val="004E6ABA"/>
    <w:rsid w:val="004E6CD7"/>
    <w:rsid w:val="004E7869"/>
    <w:rsid w:val="004E7A9D"/>
    <w:rsid w:val="004E7CA4"/>
    <w:rsid w:val="004E7FBC"/>
    <w:rsid w:val="004F071C"/>
    <w:rsid w:val="004F076C"/>
    <w:rsid w:val="004F0871"/>
    <w:rsid w:val="004F0B41"/>
    <w:rsid w:val="004F10E2"/>
    <w:rsid w:val="004F14BE"/>
    <w:rsid w:val="004F1892"/>
    <w:rsid w:val="004F1CD3"/>
    <w:rsid w:val="004F1F17"/>
    <w:rsid w:val="004F2626"/>
    <w:rsid w:val="004F3645"/>
    <w:rsid w:val="004F3913"/>
    <w:rsid w:val="004F3BF8"/>
    <w:rsid w:val="004F461E"/>
    <w:rsid w:val="004F4635"/>
    <w:rsid w:val="004F4684"/>
    <w:rsid w:val="004F495C"/>
    <w:rsid w:val="004F4C4B"/>
    <w:rsid w:val="004F536C"/>
    <w:rsid w:val="004F57AE"/>
    <w:rsid w:val="004F5988"/>
    <w:rsid w:val="004F650C"/>
    <w:rsid w:val="004F67F2"/>
    <w:rsid w:val="004F6852"/>
    <w:rsid w:val="004F7417"/>
    <w:rsid w:val="004F7743"/>
    <w:rsid w:val="004F79BF"/>
    <w:rsid w:val="004F7A8E"/>
    <w:rsid w:val="004F7BF1"/>
    <w:rsid w:val="004F7D6F"/>
    <w:rsid w:val="004F7E99"/>
    <w:rsid w:val="0050022A"/>
    <w:rsid w:val="005002D7"/>
    <w:rsid w:val="005005D7"/>
    <w:rsid w:val="005007BC"/>
    <w:rsid w:val="00500A31"/>
    <w:rsid w:val="00500A4E"/>
    <w:rsid w:val="00500AAD"/>
    <w:rsid w:val="00500B75"/>
    <w:rsid w:val="00500FED"/>
    <w:rsid w:val="005011FF"/>
    <w:rsid w:val="00501C40"/>
    <w:rsid w:val="005026F9"/>
    <w:rsid w:val="005027FE"/>
    <w:rsid w:val="005035D7"/>
    <w:rsid w:val="00503A38"/>
    <w:rsid w:val="0050410E"/>
    <w:rsid w:val="0050417D"/>
    <w:rsid w:val="0050493D"/>
    <w:rsid w:val="00504A75"/>
    <w:rsid w:val="00504E9D"/>
    <w:rsid w:val="005054C2"/>
    <w:rsid w:val="005059BA"/>
    <w:rsid w:val="00506547"/>
    <w:rsid w:val="00506C8B"/>
    <w:rsid w:val="00506CD1"/>
    <w:rsid w:val="00506CE8"/>
    <w:rsid w:val="00506D4C"/>
    <w:rsid w:val="00507027"/>
    <w:rsid w:val="005076C0"/>
    <w:rsid w:val="00507D9E"/>
    <w:rsid w:val="00507FCD"/>
    <w:rsid w:val="005100FB"/>
    <w:rsid w:val="005105B5"/>
    <w:rsid w:val="00510720"/>
    <w:rsid w:val="00510A1D"/>
    <w:rsid w:val="00511049"/>
    <w:rsid w:val="0051138D"/>
    <w:rsid w:val="0051139F"/>
    <w:rsid w:val="00511652"/>
    <w:rsid w:val="0051219F"/>
    <w:rsid w:val="00512364"/>
    <w:rsid w:val="00512546"/>
    <w:rsid w:val="00512912"/>
    <w:rsid w:val="00512CA2"/>
    <w:rsid w:val="00512CC7"/>
    <w:rsid w:val="00512FA6"/>
    <w:rsid w:val="00512FF8"/>
    <w:rsid w:val="005134A1"/>
    <w:rsid w:val="005137D8"/>
    <w:rsid w:val="0051426B"/>
    <w:rsid w:val="00514336"/>
    <w:rsid w:val="005145B0"/>
    <w:rsid w:val="00514647"/>
    <w:rsid w:val="00514668"/>
    <w:rsid w:val="00514785"/>
    <w:rsid w:val="00514C5A"/>
    <w:rsid w:val="00514F11"/>
    <w:rsid w:val="0051509C"/>
    <w:rsid w:val="00515249"/>
    <w:rsid w:val="00515793"/>
    <w:rsid w:val="00515B46"/>
    <w:rsid w:val="00515D91"/>
    <w:rsid w:val="0051604B"/>
    <w:rsid w:val="00516411"/>
    <w:rsid w:val="005166A5"/>
    <w:rsid w:val="00517990"/>
    <w:rsid w:val="005201E8"/>
    <w:rsid w:val="00520941"/>
    <w:rsid w:val="00520BEC"/>
    <w:rsid w:val="00520C5E"/>
    <w:rsid w:val="005217F3"/>
    <w:rsid w:val="00521B48"/>
    <w:rsid w:val="00521EF0"/>
    <w:rsid w:val="005221CC"/>
    <w:rsid w:val="00522259"/>
    <w:rsid w:val="005222EE"/>
    <w:rsid w:val="00522401"/>
    <w:rsid w:val="00522928"/>
    <w:rsid w:val="00522A1C"/>
    <w:rsid w:val="00522CE2"/>
    <w:rsid w:val="00523162"/>
    <w:rsid w:val="00523295"/>
    <w:rsid w:val="005233C9"/>
    <w:rsid w:val="005238D8"/>
    <w:rsid w:val="00523D0F"/>
    <w:rsid w:val="00523F49"/>
    <w:rsid w:val="00524261"/>
    <w:rsid w:val="005243DB"/>
    <w:rsid w:val="00524556"/>
    <w:rsid w:val="00524B59"/>
    <w:rsid w:val="00525299"/>
    <w:rsid w:val="005252DA"/>
    <w:rsid w:val="00525788"/>
    <w:rsid w:val="00525953"/>
    <w:rsid w:val="00527429"/>
    <w:rsid w:val="0052763A"/>
    <w:rsid w:val="00527EE8"/>
    <w:rsid w:val="005302CF"/>
    <w:rsid w:val="005304C4"/>
    <w:rsid w:val="00530B83"/>
    <w:rsid w:val="005314D0"/>
    <w:rsid w:val="00531886"/>
    <w:rsid w:val="00531907"/>
    <w:rsid w:val="00531979"/>
    <w:rsid w:val="00531ED5"/>
    <w:rsid w:val="00531FCB"/>
    <w:rsid w:val="0053240C"/>
    <w:rsid w:val="00532590"/>
    <w:rsid w:val="0053263F"/>
    <w:rsid w:val="0053278E"/>
    <w:rsid w:val="00532C3C"/>
    <w:rsid w:val="00532DCD"/>
    <w:rsid w:val="00532E1E"/>
    <w:rsid w:val="00532EAB"/>
    <w:rsid w:val="00533094"/>
    <w:rsid w:val="005333D9"/>
    <w:rsid w:val="00533EAC"/>
    <w:rsid w:val="005342A8"/>
    <w:rsid w:val="0053455D"/>
    <w:rsid w:val="00534A54"/>
    <w:rsid w:val="00534C7E"/>
    <w:rsid w:val="00534E15"/>
    <w:rsid w:val="00534EC3"/>
    <w:rsid w:val="005356CB"/>
    <w:rsid w:val="005356EA"/>
    <w:rsid w:val="00536875"/>
    <w:rsid w:val="00536A51"/>
    <w:rsid w:val="00536E3A"/>
    <w:rsid w:val="00537121"/>
    <w:rsid w:val="00537809"/>
    <w:rsid w:val="005378D8"/>
    <w:rsid w:val="0053791D"/>
    <w:rsid w:val="00540DCE"/>
    <w:rsid w:val="005410FB"/>
    <w:rsid w:val="00541269"/>
    <w:rsid w:val="00541346"/>
    <w:rsid w:val="005413BE"/>
    <w:rsid w:val="005419FE"/>
    <w:rsid w:val="00541E33"/>
    <w:rsid w:val="005424FC"/>
    <w:rsid w:val="00542962"/>
    <w:rsid w:val="0054306A"/>
    <w:rsid w:val="005439C6"/>
    <w:rsid w:val="005439D1"/>
    <w:rsid w:val="0054430C"/>
    <w:rsid w:val="0054444E"/>
    <w:rsid w:val="0054477B"/>
    <w:rsid w:val="00544F41"/>
    <w:rsid w:val="00545048"/>
    <w:rsid w:val="00545A67"/>
    <w:rsid w:val="00545DC3"/>
    <w:rsid w:val="00545E11"/>
    <w:rsid w:val="005462DE"/>
    <w:rsid w:val="005464DF"/>
    <w:rsid w:val="005464E7"/>
    <w:rsid w:val="00546916"/>
    <w:rsid w:val="00546932"/>
    <w:rsid w:val="00547503"/>
    <w:rsid w:val="00547675"/>
    <w:rsid w:val="0054776F"/>
    <w:rsid w:val="0054789E"/>
    <w:rsid w:val="005478B4"/>
    <w:rsid w:val="005501CB"/>
    <w:rsid w:val="00550273"/>
    <w:rsid w:val="00550436"/>
    <w:rsid w:val="0055081E"/>
    <w:rsid w:val="00550984"/>
    <w:rsid w:val="00550F8F"/>
    <w:rsid w:val="0055101E"/>
    <w:rsid w:val="00551E33"/>
    <w:rsid w:val="0055222A"/>
    <w:rsid w:val="00552846"/>
    <w:rsid w:val="005528F9"/>
    <w:rsid w:val="00552B1E"/>
    <w:rsid w:val="00552BE2"/>
    <w:rsid w:val="005531CE"/>
    <w:rsid w:val="00553BB8"/>
    <w:rsid w:val="00553D54"/>
    <w:rsid w:val="00553E4F"/>
    <w:rsid w:val="00553E80"/>
    <w:rsid w:val="00554410"/>
    <w:rsid w:val="00554630"/>
    <w:rsid w:val="00554ECD"/>
    <w:rsid w:val="00555BE6"/>
    <w:rsid w:val="00555E78"/>
    <w:rsid w:val="00556DA6"/>
    <w:rsid w:val="00556FCC"/>
    <w:rsid w:val="00557895"/>
    <w:rsid w:val="005604A5"/>
    <w:rsid w:val="00560719"/>
    <w:rsid w:val="00560999"/>
    <w:rsid w:val="00560CCB"/>
    <w:rsid w:val="005613D2"/>
    <w:rsid w:val="005613E2"/>
    <w:rsid w:val="005616EC"/>
    <w:rsid w:val="00561930"/>
    <w:rsid w:val="005619C1"/>
    <w:rsid w:val="00562467"/>
    <w:rsid w:val="0056318E"/>
    <w:rsid w:val="00563A90"/>
    <w:rsid w:val="00563B87"/>
    <w:rsid w:val="00563B95"/>
    <w:rsid w:val="00564666"/>
    <w:rsid w:val="00564750"/>
    <w:rsid w:val="00564CD5"/>
    <w:rsid w:val="005659A4"/>
    <w:rsid w:val="00566108"/>
    <w:rsid w:val="00566146"/>
    <w:rsid w:val="00566638"/>
    <w:rsid w:val="0056675E"/>
    <w:rsid w:val="005669D1"/>
    <w:rsid w:val="00566A54"/>
    <w:rsid w:val="00567447"/>
    <w:rsid w:val="005701A4"/>
    <w:rsid w:val="005708D4"/>
    <w:rsid w:val="00570BA0"/>
    <w:rsid w:val="00570F51"/>
    <w:rsid w:val="005713AC"/>
    <w:rsid w:val="00571663"/>
    <w:rsid w:val="0057184D"/>
    <w:rsid w:val="00572199"/>
    <w:rsid w:val="0057234B"/>
    <w:rsid w:val="00572657"/>
    <w:rsid w:val="00572694"/>
    <w:rsid w:val="00572753"/>
    <w:rsid w:val="00572A4D"/>
    <w:rsid w:val="00572C89"/>
    <w:rsid w:val="00573414"/>
    <w:rsid w:val="005734E6"/>
    <w:rsid w:val="0057361F"/>
    <w:rsid w:val="005736CD"/>
    <w:rsid w:val="00573A25"/>
    <w:rsid w:val="00573A66"/>
    <w:rsid w:val="00573C9F"/>
    <w:rsid w:val="0057428B"/>
    <w:rsid w:val="0057447D"/>
    <w:rsid w:val="00574AFD"/>
    <w:rsid w:val="00574B78"/>
    <w:rsid w:val="005754D2"/>
    <w:rsid w:val="0057567F"/>
    <w:rsid w:val="0057606B"/>
    <w:rsid w:val="0057661A"/>
    <w:rsid w:val="00576E1B"/>
    <w:rsid w:val="0057728C"/>
    <w:rsid w:val="005773D6"/>
    <w:rsid w:val="0057765B"/>
    <w:rsid w:val="0057771F"/>
    <w:rsid w:val="0057791C"/>
    <w:rsid w:val="00577EA2"/>
    <w:rsid w:val="00580646"/>
    <w:rsid w:val="005806E6"/>
    <w:rsid w:val="0058102A"/>
    <w:rsid w:val="005812E1"/>
    <w:rsid w:val="005816E4"/>
    <w:rsid w:val="005817E4"/>
    <w:rsid w:val="0058199B"/>
    <w:rsid w:val="00581DDE"/>
    <w:rsid w:val="0058265C"/>
    <w:rsid w:val="00582880"/>
    <w:rsid w:val="00582BF7"/>
    <w:rsid w:val="00582F8B"/>
    <w:rsid w:val="00583050"/>
    <w:rsid w:val="00583520"/>
    <w:rsid w:val="00583834"/>
    <w:rsid w:val="00583E47"/>
    <w:rsid w:val="00584650"/>
    <w:rsid w:val="0058492A"/>
    <w:rsid w:val="00584DDE"/>
    <w:rsid w:val="00584FA8"/>
    <w:rsid w:val="00584FBF"/>
    <w:rsid w:val="00584FCE"/>
    <w:rsid w:val="0058544A"/>
    <w:rsid w:val="00585684"/>
    <w:rsid w:val="00585801"/>
    <w:rsid w:val="00585B6A"/>
    <w:rsid w:val="00585C66"/>
    <w:rsid w:val="00585CDB"/>
    <w:rsid w:val="00587570"/>
    <w:rsid w:val="00587B23"/>
    <w:rsid w:val="00587FBB"/>
    <w:rsid w:val="00590006"/>
    <w:rsid w:val="00590117"/>
    <w:rsid w:val="005901E8"/>
    <w:rsid w:val="005905FF"/>
    <w:rsid w:val="00590CD5"/>
    <w:rsid w:val="005918F0"/>
    <w:rsid w:val="005923BD"/>
    <w:rsid w:val="0059279C"/>
    <w:rsid w:val="00592A75"/>
    <w:rsid w:val="00592AE8"/>
    <w:rsid w:val="00592CB1"/>
    <w:rsid w:val="00593006"/>
    <w:rsid w:val="00593039"/>
    <w:rsid w:val="00593388"/>
    <w:rsid w:val="00593513"/>
    <w:rsid w:val="005935E4"/>
    <w:rsid w:val="00593BFD"/>
    <w:rsid w:val="00593F02"/>
    <w:rsid w:val="00594199"/>
    <w:rsid w:val="005943E8"/>
    <w:rsid w:val="00594F99"/>
    <w:rsid w:val="0059531D"/>
    <w:rsid w:val="00595D15"/>
    <w:rsid w:val="00595E36"/>
    <w:rsid w:val="00596062"/>
    <w:rsid w:val="00596173"/>
    <w:rsid w:val="00596641"/>
    <w:rsid w:val="00596741"/>
    <w:rsid w:val="00596BB7"/>
    <w:rsid w:val="00596C0A"/>
    <w:rsid w:val="00596CBD"/>
    <w:rsid w:val="00597C90"/>
    <w:rsid w:val="00597F4E"/>
    <w:rsid w:val="005A027D"/>
    <w:rsid w:val="005A0623"/>
    <w:rsid w:val="005A062A"/>
    <w:rsid w:val="005A1513"/>
    <w:rsid w:val="005A25E4"/>
    <w:rsid w:val="005A29BB"/>
    <w:rsid w:val="005A3320"/>
    <w:rsid w:val="005A364A"/>
    <w:rsid w:val="005A3C06"/>
    <w:rsid w:val="005A3F25"/>
    <w:rsid w:val="005A467A"/>
    <w:rsid w:val="005A467D"/>
    <w:rsid w:val="005A5738"/>
    <w:rsid w:val="005A6159"/>
    <w:rsid w:val="005A6431"/>
    <w:rsid w:val="005A66BE"/>
    <w:rsid w:val="005A6730"/>
    <w:rsid w:val="005A69EE"/>
    <w:rsid w:val="005A6CE2"/>
    <w:rsid w:val="005A6DA5"/>
    <w:rsid w:val="005A6E3F"/>
    <w:rsid w:val="005A7160"/>
    <w:rsid w:val="005A7FDA"/>
    <w:rsid w:val="005A7FEF"/>
    <w:rsid w:val="005B0034"/>
    <w:rsid w:val="005B013F"/>
    <w:rsid w:val="005B0E7C"/>
    <w:rsid w:val="005B22C7"/>
    <w:rsid w:val="005B2ACA"/>
    <w:rsid w:val="005B2B17"/>
    <w:rsid w:val="005B3416"/>
    <w:rsid w:val="005B3BE4"/>
    <w:rsid w:val="005B3FFC"/>
    <w:rsid w:val="005B4008"/>
    <w:rsid w:val="005B4191"/>
    <w:rsid w:val="005B46EF"/>
    <w:rsid w:val="005B4771"/>
    <w:rsid w:val="005B4874"/>
    <w:rsid w:val="005B52B3"/>
    <w:rsid w:val="005B6332"/>
    <w:rsid w:val="005B6F07"/>
    <w:rsid w:val="005B763F"/>
    <w:rsid w:val="005B7AEE"/>
    <w:rsid w:val="005B7FD6"/>
    <w:rsid w:val="005C001D"/>
    <w:rsid w:val="005C03E2"/>
    <w:rsid w:val="005C05B8"/>
    <w:rsid w:val="005C07C2"/>
    <w:rsid w:val="005C0AA5"/>
    <w:rsid w:val="005C0BD1"/>
    <w:rsid w:val="005C11AD"/>
    <w:rsid w:val="005C1338"/>
    <w:rsid w:val="005C1458"/>
    <w:rsid w:val="005C17D2"/>
    <w:rsid w:val="005C1831"/>
    <w:rsid w:val="005C1EB2"/>
    <w:rsid w:val="005C2507"/>
    <w:rsid w:val="005C2B4F"/>
    <w:rsid w:val="005C2DD3"/>
    <w:rsid w:val="005C2E31"/>
    <w:rsid w:val="005C3112"/>
    <w:rsid w:val="005C3250"/>
    <w:rsid w:val="005C3400"/>
    <w:rsid w:val="005C3A48"/>
    <w:rsid w:val="005C3A90"/>
    <w:rsid w:val="005C3E23"/>
    <w:rsid w:val="005C41BB"/>
    <w:rsid w:val="005C425B"/>
    <w:rsid w:val="005C4406"/>
    <w:rsid w:val="005C4755"/>
    <w:rsid w:val="005C47DF"/>
    <w:rsid w:val="005C4CB8"/>
    <w:rsid w:val="005C4EF4"/>
    <w:rsid w:val="005C518C"/>
    <w:rsid w:val="005C5391"/>
    <w:rsid w:val="005C54E1"/>
    <w:rsid w:val="005C5803"/>
    <w:rsid w:val="005C6453"/>
    <w:rsid w:val="005C64B9"/>
    <w:rsid w:val="005C7480"/>
    <w:rsid w:val="005C7511"/>
    <w:rsid w:val="005C7579"/>
    <w:rsid w:val="005C7D7D"/>
    <w:rsid w:val="005C7F7D"/>
    <w:rsid w:val="005D060D"/>
    <w:rsid w:val="005D0809"/>
    <w:rsid w:val="005D0817"/>
    <w:rsid w:val="005D1D9A"/>
    <w:rsid w:val="005D1E0A"/>
    <w:rsid w:val="005D20B8"/>
    <w:rsid w:val="005D25D0"/>
    <w:rsid w:val="005D2BFE"/>
    <w:rsid w:val="005D36E6"/>
    <w:rsid w:val="005D3C58"/>
    <w:rsid w:val="005D485F"/>
    <w:rsid w:val="005D4A01"/>
    <w:rsid w:val="005D4B11"/>
    <w:rsid w:val="005D4C84"/>
    <w:rsid w:val="005D565D"/>
    <w:rsid w:val="005D565F"/>
    <w:rsid w:val="005D5A29"/>
    <w:rsid w:val="005D5B48"/>
    <w:rsid w:val="005D63E7"/>
    <w:rsid w:val="005D72B5"/>
    <w:rsid w:val="005D7450"/>
    <w:rsid w:val="005D791B"/>
    <w:rsid w:val="005D7D2F"/>
    <w:rsid w:val="005D7F07"/>
    <w:rsid w:val="005E00E8"/>
    <w:rsid w:val="005E05A2"/>
    <w:rsid w:val="005E0C6A"/>
    <w:rsid w:val="005E0DAB"/>
    <w:rsid w:val="005E1093"/>
    <w:rsid w:val="005E129C"/>
    <w:rsid w:val="005E139E"/>
    <w:rsid w:val="005E1417"/>
    <w:rsid w:val="005E1B72"/>
    <w:rsid w:val="005E2214"/>
    <w:rsid w:val="005E2810"/>
    <w:rsid w:val="005E2BE4"/>
    <w:rsid w:val="005E2DA6"/>
    <w:rsid w:val="005E306F"/>
    <w:rsid w:val="005E30B0"/>
    <w:rsid w:val="005E33AC"/>
    <w:rsid w:val="005E399E"/>
    <w:rsid w:val="005E421D"/>
    <w:rsid w:val="005E4B03"/>
    <w:rsid w:val="005E4BB9"/>
    <w:rsid w:val="005E4BD3"/>
    <w:rsid w:val="005E5700"/>
    <w:rsid w:val="005E5770"/>
    <w:rsid w:val="005E6312"/>
    <w:rsid w:val="005E6458"/>
    <w:rsid w:val="005E658D"/>
    <w:rsid w:val="005E6B28"/>
    <w:rsid w:val="005E6B8E"/>
    <w:rsid w:val="005E6C82"/>
    <w:rsid w:val="005E6CE6"/>
    <w:rsid w:val="005E6ED7"/>
    <w:rsid w:val="005E726D"/>
    <w:rsid w:val="005E7464"/>
    <w:rsid w:val="005E74EC"/>
    <w:rsid w:val="005E7E2E"/>
    <w:rsid w:val="005E7E9C"/>
    <w:rsid w:val="005E7FE1"/>
    <w:rsid w:val="005F04F1"/>
    <w:rsid w:val="005F09E1"/>
    <w:rsid w:val="005F0BDE"/>
    <w:rsid w:val="005F1867"/>
    <w:rsid w:val="005F195A"/>
    <w:rsid w:val="005F1D13"/>
    <w:rsid w:val="005F206A"/>
    <w:rsid w:val="005F23C8"/>
    <w:rsid w:val="005F2BB5"/>
    <w:rsid w:val="005F2C56"/>
    <w:rsid w:val="005F2E05"/>
    <w:rsid w:val="005F2E22"/>
    <w:rsid w:val="005F30D2"/>
    <w:rsid w:val="005F367B"/>
    <w:rsid w:val="005F3992"/>
    <w:rsid w:val="005F3B2F"/>
    <w:rsid w:val="005F4702"/>
    <w:rsid w:val="005F4754"/>
    <w:rsid w:val="005F47BA"/>
    <w:rsid w:val="005F48F9"/>
    <w:rsid w:val="005F49E7"/>
    <w:rsid w:val="005F5320"/>
    <w:rsid w:val="005F5E33"/>
    <w:rsid w:val="005F627D"/>
    <w:rsid w:val="005F6C5C"/>
    <w:rsid w:val="005F70EB"/>
    <w:rsid w:val="005F7FC8"/>
    <w:rsid w:val="00600442"/>
    <w:rsid w:val="0060076A"/>
    <w:rsid w:val="0060144E"/>
    <w:rsid w:val="00601939"/>
    <w:rsid w:val="00602048"/>
    <w:rsid w:val="006029FE"/>
    <w:rsid w:val="00602A77"/>
    <w:rsid w:val="00602E1C"/>
    <w:rsid w:val="00602E7B"/>
    <w:rsid w:val="006031F8"/>
    <w:rsid w:val="006033A8"/>
    <w:rsid w:val="0060369C"/>
    <w:rsid w:val="0060435A"/>
    <w:rsid w:val="00604DE9"/>
    <w:rsid w:val="006050AD"/>
    <w:rsid w:val="0060534D"/>
    <w:rsid w:val="00605411"/>
    <w:rsid w:val="00605425"/>
    <w:rsid w:val="00605802"/>
    <w:rsid w:val="00605A5A"/>
    <w:rsid w:val="00605FAF"/>
    <w:rsid w:val="00605FC8"/>
    <w:rsid w:val="00606055"/>
    <w:rsid w:val="006060BF"/>
    <w:rsid w:val="00606584"/>
    <w:rsid w:val="0060659C"/>
    <w:rsid w:val="00607067"/>
    <w:rsid w:val="006073EE"/>
    <w:rsid w:val="0060747C"/>
    <w:rsid w:val="0060766E"/>
    <w:rsid w:val="0060783A"/>
    <w:rsid w:val="0061005D"/>
    <w:rsid w:val="0061009B"/>
    <w:rsid w:val="006101FC"/>
    <w:rsid w:val="006107AD"/>
    <w:rsid w:val="00610A1C"/>
    <w:rsid w:val="00610C23"/>
    <w:rsid w:val="00610F83"/>
    <w:rsid w:val="006112E6"/>
    <w:rsid w:val="006114ED"/>
    <w:rsid w:val="00611F7C"/>
    <w:rsid w:val="006126E7"/>
    <w:rsid w:val="00612774"/>
    <w:rsid w:val="00612A24"/>
    <w:rsid w:val="00612B7A"/>
    <w:rsid w:val="00612D28"/>
    <w:rsid w:val="00612E61"/>
    <w:rsid w:val="00613149"/>
    <w:rsid w:val="0061341D"/>
    <w:rsid w:val="006136BD"/>
    <w:rsid w:val="00613835"/>
    <w:rsid w:val="00614349"/>
    <w:rsid w:val="0061481F"/>
    <w:rsid w:val="006148D3"/>
    <w:rsid w:val="00614A6F"/>
    <w:rsid w:val="006151ED"/>
    <w:rsid w:val="00615373"/>
    <w:rsid w:val="00615955"/>
    <w:rsid w:val="006167B5"/>
    <w:rsid w:val="00616CA9"/>
    <w:rsid w:val="00617100"/>
    <w:rsid w:val="00617380"/>
    <w:rsid w:val="006177B0"/>
    <w:rsid w:val="00617993"/>
    <w:rsid w:val="00617A8C"/>
    <w:rsid w:val="00617E22"/>
    <w:rsid w:val="00617F09"/>
    <w:rsid w:val="00617F15"/>
    <w:rsid w:val="00620869"/>
    <w:rsid w:val="00621748"/>
    <w:rsid w:val="00621986"/>
    <w:rsid w:val="00621AB7"/>
    <w:rsid w:val="00621C94"/>
    <w:rsid w:val="00621E8B"/>
    <w:rsid w:val="006220A0"/>
    <w:rsid w:val="00622647"/>
    <w:rsid w:val="00622969"/>
    <w:rsid w:val="00622E55"/>
    <w:rsid w:val="00622EB7"/>
    <w:rsid w:val="006233D0"/>
    <w:rsid w:val="00623930"/>
    <w:rsid w:val="00623C7B"/>
    <w:rsid w:val="00624291"/>
    <w:rsid w:val="006246C7"/>
    <w:rsid w:val="00624C73"/>
    <w:rsid w:val="00624DD9"/>
    <w:rsid w:val="006251AF"/>
    <w:rsid w:val="0062534F"/>
    <w:rsid w:val="0062615D"/>
    <w:rsid w:val="00626281"/>
    <w:rsid w:val="00626715"/>
    <w:rsid w:val="0062688D"/>
    <w:rsid w:val="00626CD5"/>
    <w:rsid w:val="00627024"/>
    <w:rsid w:val="00627D36"/>
    <w:rsid w:val="00627E5E"/>
    <w:rsid w:val="00627EEE"/>
    <w:rsid w:val="00627F30"/>
    <w:rsid w:val="00630170"/>
    <w:rsid w:val="0063026C"/>
    <w:rsid w:val="00630503"/>
    <w:rsid w:val="0063085D"/>
    <w:rsid w:val="00630BE2"/>
    <w:rsid w:val="00630F25"/>
    <w:rsid w:val="00631756"/>
    <w:rsid w:val="00631947"/>
    <w:rsid w:val="006319F4"/>
    <w:rsid w:val="00632961"/>
    <w:rsid w:val="00633052"/>
    <w:rsid w:val="006333E2"/>
    <w:rsid w:val="00633B38"/>
    <w:rsid w:val="00633CC7"/>
    <w:rsid w:val="00633D20"/>
    <w:rsid w:val="00633F91"/>
    <w:rsid w:val="00634086"/>
    <w:rsid w:val="00634730"/>
    <w:rsid w:val="00634FD3"/>
    <w:rsid w:val="0063511A"/>
    <w:rsid w:val="0063548D"/>
    <w:rsid w:val="00635AB7"/>
    <w:rsid w:val="00636255"/>
    <w:rsid w:val="00636F84"/>
    <w:rsid w:val="00637F1D"/>
    <w:rsid w:val="0064098F"/>
    <w:rsid w:val="00640A3B"/>
    <w:rsid w:val="006417CC"/>
    <w:rsid w:val="0064182E"/>
    <w:rsid w:val="00641A19"/>
    <w:rsid w:val="00642864"/>
    <w:rsid w:val="00642F6E"/>
    <w:rsid w:val="0064342E"/>
    <w:rsid w:val="006441BE"/>
    <w:rsid w:val="006449AB"/>
    <w:rsid w:val="00644A71"/>
    <w:rsid w:val="00646057"/>
    <w:rsid w:val="006467F6"/>
    <w:rsid w:val="00647336"/>
    <w:rsid w:val="00647FCC"/>
    <w:rsid w:val="0065018C"/>
    <w:rsid w:val="0065041F"/>
    <w:rsid w:val="00650589"/>
    <w:rsid w:val="00650CE4"/>
    <w:rsid w:val="0065137C"/>
    <w:rsid w:val="0065142C"/>
    <w:rsid w:val="006523E7"/>
    <w:rsid w:val="00652646"/>
    <w:rsid w:val="006527C1"/>
    <w:rsid w:val="00652956"/>
    <w:rsid w:val="00652E43"/>
    <w:rsid w:val="006530A5"/>
    <w:rsid w:val="006537E3"/>
    <w:rsid w:val="00653DE7"/>
    <w:rsid w:val="00653EE0"/>
    <w:rsid w:val="006549E2"/>
    <w:rsid w:val="00654A09"/>
    <w:rsid w:val="0065520D"/>
    <w:rsid w:val="0065563C"/>
    <w:rsid w:val="00657587"/>
    <w:rsid w:val="00657667"/>
    <w:rsid w:val="00660128"/>
    <w:rsid w:val="0066049E"/>
    <w:rsid w:val="006606FC"/>
    <w:rsid w:val="00660DE6"/>
    <w:rsid w:val="00661496"/>
    <w:rsid w:val="00661788"/>
    <w:rsid w:val="00661BE0"/>
    <w:rsid w:val="0066206B"/>
    <w:rsid w:val="0066290E"/>
    <w:rsid w:val="00662DDF"/>
    <w:rsid w:val="006635C0"/>
    <w:rsid w:val="00663C48"/>
    <w:rsid w:val="00663C72"/>
    <w:rsid w:val="00663FD5"/>
    <w:rsid w:val="006643EE"/>
    <w:rsid w:val="006647DE"/>
    <w:rsid w:val="00664CBE"/>
    <w:rsid w:val="00664D4F"/>
    <w:rsid w:val="00664F98"/>
    <w:rsid w:val="00664FC0"/>
    <w:rsid w:val="00665269"/>
    <w:rsid w:val="00666369"/>
    <w:rsid w:val="00666B70"/>
    <w:rsid w:val="006674FB"/>
    <w:rsid w:val="0066766A"/>
    <w:rsid w:val="006708DC"/>
    <w:rsid w:val="00670F08"/>
    <w:rsid w:val="00671463"/>
    <w:rsid w:val="00671B6D"/>
    <w:rsid w:val="00671CA6"/>
    <w:rsid w:val="006727D5"/>
    <w:rsid w:val="00672E5A"/>
    <w:rsid w:val="00672E8E"/>
    <w:rsid w:val="0067313E"/>
    <w:rsid w:val="006734E6"/>
    <w:rsid w:val="00674189"/>
    <w:rsid w:val="0067435F"/>
    <w:rsid w:val="0067461A"/>
    <w:rsid w:val="00674B8F"/>
    <w:rsid w:val="0067596A"/>
    <w:rsid w:val="00675E4F"/>
    <w:rsid w:val="00676525"/>
    <w:rsid w:val="006767B6"/>
    <w:rsid w:val="00676CE4"/>
    <w:rsid w:val="006772DC"/>
    <w:rsid w:val="0067750C"/>
    <w:rsid w:val="006805AC"/>
    <w:rsid w:val="00680A60"/>
    <w:rsid w:val="00680ABB"/>
    <w:rsid w:val="00680D05"/>
    <w:rsid w:val="00680E73"/>
    <w:rsid w:val="00681391"/>
    <w:rsid w:val="006815B0"/>
    <w:rsid w:val="00681AED"/>
    <w:rsid w:val="00681BBA"/>
    <w:rsid w:val="00682124"/>
    <w:rsid w:val="0068226A"/>
    <w:rsid w:val="0068231C"/>
    <w:rsid w:val="00682A5B"/>
    <w:rsid w:val="00682A93"/>
    <w:rsid w:val="00682C6C"/>
    <w:rsid w:val="00683047"/>
    <w:rsid w:val="0068387D"/>
    <w:rsid w:val="00683A3A"/>
    <w:rsid w:val="00683CEA"/>
    <w:rsid w:val="00683D3A"/>
    <w:rsid w:val="00684B0A"/>
    <w:rsid w:val="006860A8"/>
    <w:rsid w:val="006861CB"/>
    <w:rsid w:val="00686874"/>
    <w:rsid w:val="00686E35"/>
    <w:rsid w:val="00687366"/>
    <w:rsid w:val="006876DB"/>
    <w:rsid w:val="006901A1"/>
    <w:rsid w:val="0069032B"/>
    <w:rsid w:val="0069042F"/>
    <w:rsid w:val="00690651"/>
    <w:rsid w:val="006906F0"/>
    <w:rsid w:val="00690962"/>
    <w:rsid w:val="00690A7F"/>
    <w:rsid w:val="00690B40"/>
    <w:rsid w:val="00690C58"/>
    <w:rsid w:val="00690E56"/>
    <w:rsid w:val="006913F3"/>
    <w:rsid w:val="00692071"/>
    <w:rsid w:val="006922CE"/>
    <w:rsid w:val="0069233C"/>
    <w:rsid w:val="0069245F"/>
    <w:rsid w:val="006926A2"/>
    <w:rsid w:val="0069357D"/>
    <w:rsid w:val="006938C1"/>
    <w:rsid w:val="00693FEC"/>
    <w:rsid w:val="0069433E"/>
    <w:rsid w:val="006945FC"/>
    <w:rsid w:val="00694B9A"/>
    <w:rsid w:val="00694BE1"/>
    <w:rsid w:val="00695155"/>
    <w:rsid w:val="00695319"/>
    <w:rsid w:val="006953DB"/>
    <w:rsid w:val="006955E8"/>
    <w:rsid w:val="006956D3"/>
    <w:rsid w:val="00695733"/>
    <w:rsid w:val="006958F6"/>
    <w:rsid w:val="006959D9"/>
    <w:rsid w:val="006960C7"/>
    <w:rsid w:val="00696567"/>
    <w:rsid w:val="00696586"/>
    <w:rsid w:val="0069677F"/>
    <w:rsid w:val="006967A2"/>
    <w:rsid w:val="00696C0A"/>
    <w:rsid w:val="00696F78"/>
    <w:rsid w:val="00697235"/>
    <w:rsid w:val="0069769A"/>
    <w:rsid w:val="006979CB"/>
    <w:rsid w:val="00697B94"/>
    <w:rsid w:val="00697DC2"/>
    <w:rsid w:val="00697FCF"/>
    <w:rsid w:val="006A09D2"/>
    <w:rsid w:val="006A0B01"/>
    <w:rsid w:val="006A0B11"/>
    <w:rsid w:val="006A126E"/>
    <w:rsid w:val="006A1A61"/>
    <w:rsid w:val="006A1C1F"/>
    <w:rsid w:val="006A1FFA"/>
    <w:rsid w:val="006A2716"/>
    <w:rsid w:val="006A28E0"/>
    <w:rsid w:val="006A28F3"/>
    <w:rsid w:val="006A3499"/>
    <w:rsid w:val="006A38B5"/>
    <w:rsid w:val="006A3DE9"/>
    <w:rsid w:val="006A3E6A"/>
    <w:rsid w:val="006A4AC3"/>
    <w:rsid w:val="006A4D21"/>
    <w:rsid w:val="006A5FBC"/>
    <w:rsid w:val="006A6A13"/>
    <w:rsid w:val="006A6A63"/>
    <w:rsid w:val="006A7188"/>
    <w:rsid w:val="006A72BF"/>
    <w:rsid w:val="006A7FC3"/>
    <w:rsid w:val="006B0280"/>
    <w:rsid w:val="006B0794"/>
    <w:rsid w:val="006B07E2"/>
    <w:rsid w:val="006B0A94"/>
    <w:rsid w:val="006B0C8F"/>
    <w:rsid w:val="006B0E9B"/>
    <w:rsid w:val="006B11A2"/>
    <w:rsid w:val="006B1AF4"/>
    <w:rsid w:val="006B2081"/>
    <w:rsid w:val="006B2580"/>
    <w:rsid w:val="006B2715"/>
    <w:rsid w:val="006B3824"/>
    <w:rsid w:val="006B3FCC"/>
    <w:rsid w:val="006B42F3"/>
    <w:rsid w:val="006B450F"/>
    <w:rsid w:val="006B4628"/>
    <w:rsid w:val="006B4C71"/>
    <w:rsid w:val="006B4DF7"/>
    <w:rsid w:val="006B58D1"/>
    <w:rsid w:val="006B59C4"/>
    <w:rsid w:val="006B60CA"/>
    <w:rsid w:val="006B6108"/>
    <w:rsid w:val="006B613C"/>
    <w:rsid w:val="006B6882"/>
    <w:rsid w:val="006B6EB9"/>
    <w:rsid w:val="006B702C"/>
    <w:rsid w:val="006B756E"/>
    <w:rsid w:val="006B7708"/>
    <w:rsid w:val="006B7EC4"/>
    <w:rsid w:val="006B7F80"/>
    <w:rsid w:val="006C0014"/>
    <w:rsid w:val="006C023F"/>
    <w:rsid w:val="006C0B03"/>
    <w:rsid w:val="006C0E07"/>
    <w:rsid w:val="006C1439"/>
    <w:rsid w:val="006C2BF8"/>
    <w:rsid w:val="006C2CA9"/>
    <w:rsid w:val="006C2D4D"/>
    <w:rsid w:val="006C2EE6"/>
    <w:rsid w:val="006C3372"/>
    <w:rsid w:val="006C357D"/>
    <w:rsid w:val="006C38C8"/>
    <w:rsid w:val="006C3E40"/>
    <w:rsid w:val="006C403D"/>
    <w:rsid w:val="006C4049"/>
    <w:rsid w:val="006C46C9"/>
    <w:rsid w:val="006C485E"/>
    <w:rsid w:val="006C4DB9"/>
    <w:rsid w:val="006C4EEB"/>
    <w:rsid w:val="006C5B3C"/>
    <w:rsid w:val="006C6378"/>
    <w:rsid w:val="006C6431"/>
    <w:rsid w:val="006C7261"/>
    <w:rsid w:val="006C7582"/>
    <w:rsid w:val="006C75D4"/>
    <w:rsid w:val="006C78AB"/>
    <w:rsid w:val="006C7AA8"/>
    <w:rsid w:val="006D0051"/>
    <w:rsid w:val="006D10BC"/>
    <w:rsid w:val="006D1341"/>
    <w:rsid w:val="006D149A"/>
    <w:rsid w:val="006D228C"/>
    <w:rsid w:val="006D2459"/>
    <w:rsid w:val="006D254B"/>
    <w:rsid w:val="006D26FB"/>
    <w:rsid w:val="006D2D5A"/>
    <w:rsid w:val="006D374B"/>
    <w:rsid w:val="006D39CB"/>
    <w:rsid w:val="006D3DAE"/>
    <w:rsid w:val="006D3DC0"/>
    <w:rsid w:val="006D3FC2"/>
    <w:rsid w:val="006D4041"/>
    <w:rsid w:val="006D447C"/>
    <w:rsid w:val="006D47C0"/>
    <w:rsid w:val="006D4B14"/>
    <w:rsid w:val="006D525E"/>
    <w:rsid w:val="006D5846"/>
    <w:rsid w:val="006D6344"/>
    <w:rsid w:val="006D70A1"/>
    <w:rsid w:val="006D77F0"/>
    <w:rsid w:val="006E03A4"/>
    <w:rsid w:val="006E0AC6"/>
    <w:rsid w:val="006E0DAC"/>
    <w:rsid w:val="006E1396"/>
    <w:rsid w:val="006E2203"/>
    <w:rsid w:val="006E2287"/>
    <w:rsid w:val="006E24FD"/>
    <w:rsid w:val="006E28B5"/>
    <w:rsid w:val="006E29EB"/>
    <w:rsid w:val="006E2ABE"/>
    <w:rsid w:val="006E2F7F"/>
    <w:rsid w:val="006E2F9F"/>
    <w:rsid w:val="006E382C"/>
    <w:rsid w:val="006E3B95"/>
    <w:rsid w:val="006E3D8D"/>
    <w:rsid w:val="006E3F1F"/>
    <w:rsid w:val="006E450E"/>
    <w:rsid w:val="006E48C1"/>
    <w:rsid w:val="006E4A4C"/>
    <w:rsid w:val="006E4A5B"/>
    <w:rsid w:val="006E4B65"/>
    <w:rsid w:val="006E51C2"/>
    <w:rsid w:val="006E5765"/>
    <w:rsid w:val="006E5A4A"/>
    <w:rsid w:val="006E5C8B"/>
    <w:rsid w:val="006E5D1F"/>
    <w:rsid w:val="006E5E0F"/>
    <w:rsid w:val="006E61DC"/>
    <w:rsid w:val="006E67A5"/>
    <w:rsid w:val="006E688C"/>
    <w:rsid w:val="006E696C"/>
    <w:rsid w:val="006E71A5"/>
    <w:rsid w:val="006F0327"/>
    <w:rsid w:val="006F0548"/>
    <w:rsid w:val="006F09CE"/>
    <w:rsid w:val="006F09E9"/>
    <w:rsid w:val="006F0C64"/>
    <w:rsid w:val="006F226B"/>
    <w:rsid w:val="006F339C"/>
    <w:rsid w:val="006F3ED5"/>
    <w:rsid w:val="006F458C"/>
    <w:rsid w:val="006F469B"/>
    <w:rsid w:val="006F46DF"/>
    <w:rsid w:val="006F480C"/>
    <w:rsid w:val="006F50F1"/>
    <w:rsid w:val="006F55E7"/>
    <w:rsid w:val="006F6001"/>
    <w:rsid w:val="006F64E2"/>
    <w:rsid w:val="006F6D91"/>
    <w:rsid w:val="006F6DCB"/>
    <w:rsid w:val="006F74A3"/>
    <w:rsid w:val="006F7871"/>
    <w:rsid w:val="006F79AA"/>
    <w:rsid w:val="006F7C62"/>
    <w:rsid w:val="00700756"/>
    <w:rsid w:val="007023CF"/>
    <w:rsid w:val="00702AAD"/>
    <w:rsid w:val="00702E40"/>
    <w:rsid w:val="007030C4"/>
    <w:rsid w:val="00703612"/>
    <w:rsid w:val="007036B1"/>
    <w:rsid w:val="007038FD"/>
    <w:rsid w:val="0070390F"/>
    <w:rsid w:val="00703B2E"/>
    <w:rsid w:val="00703E8F"/>
    <w:rsid w:val="00704419"/>
    <w:rsid w:val="00704534"/>
    <w:rsid w:val="00705540"/>
    <w:rsid w:val="00705588"/>
    <w:rsid w:val="00705611"/>
    <w:rsid w:val="00705691"/>
    <w:rsid w:val="0070585C"/>
    <w:rsid w:val="00705892"/>
    <w:rsid w:val="00705F03"/>
    <w:rsid w:val="00706934"/>
    <w:rsid w:val="007071DE"/>
    <w:rsid w:val="00707251"/>
    <w:rsid w:val="00707CF4"/>
    <w:rsid w:val="00707E17"/>
    <w:rsid w:val="007103D5"/>
    <w:rsid w:val="007116CC"/>
    <w:rsid w:val="00711729"/>
    <w:rsid w:val="00711A15"/>
    <w:rsid w:val="00711B21"/>
    <w:rsid w:val="00711BB2"/>
    <w:rsid w:val="007122F4"/>
    <w:rsid w:val="0071245A"/>
    <w:rsid w:val="00712743"/>
    <w:rsid w:val="00713245"/>
    <w:rsid w:val="00713EF5"/>
    <w:rsid w:val="007141C0"/>
    <w:rsid w:val="007143C7"/>
    <w:rsid w:val="00714858"/>
    <w:rsid w:val="00714A4A"/>
    <w:rsid w:val="007152BB"/>
    <w:rsid w:val="007152CF"/>
    <w:rsid w:val="007153CB"/>
    <w:rsid w:val="007156D2"/>
    <w:rsid w:val="00715B79"/>
    <w:rsid w:val="0071670B"/>
    <w:rsid w:val="00716860"/>
    <w:rsid w:val="00716F59"/>
    <w:rsid w:val="00717922"/>
    <w:rsid w:val="00717B1A"/>
    <w:rsid w:val="00717E1A"/>
    <w:rsid w:val="00720BDD"/>
    <w:rsid w:val="00720D29"/>
    <w:rsid w:val="007210C5"/>
    <w:rsid w:val="00721BDF"/>
    <w:rsid w:val="00722176"/>
    <w:rsid w:val="007224BB"/>
    <w:rsid w:val="00722562"/>
    <w:rsid w:val="00722BE4"/>
    <w:rsid w:val="007232CF"/>
    <w:rsid w:val="00724129"/>
    <w:rsid w:val="007245F0"/>
    <w:rsid w:val="00724773"/>
    <w:rsid w:val="00724ADF"/>
    <w:rsid w:val="00724CD5"/>
    <w:rsid w:val="00724DA5"/>
    <w:rsid w:val="0072543D"/>
    <w:rsid w:val="007255A5"/>
    <w:rsid w:val="00725953"/>
    <w:rsid w:val="00726220"/>
    <w:rsid w:val="007264EE"/>
    <w:rsid w:val="00726609"/>
    <w:rsid w:val="00726DF1"/>
    <w:rsid w:val="00727019"/>
    <w:rsid w:val="00727317"/>
    <w:rsid w:val="007274B0"/>
    <w:rsid w:val="00727889"/>
    <w:rsid w:val="00727B44"/>
    <w:rsid w:val="00727E9B"/>
    <w:rsid w:val="00730D66"/>
    <w:rsid w:val="007319A9"/>
    <w:rsid w:val="00731E94"/>
    <w:rsid w:val="00731FA1"/>
    <w:rsid w:val="00731FFD"/>
    <w:rsid w:val="007322AF"/>
    <w:rsid w:val="007322D4"/>
    <w:rsid w:val="0073251A"/>
    <w:rsid w:val="00732C71"/>
    <w:rsid w:val="00733107"/>
    <w:rsid w:val="007336B2"/>
    <w:rsid w:val="00733924"/>
    <w:rsid w:val="00733B49"/>
    <w:rsid w:val="00733D53"/>
    <w:rsid w:val="007341C8"/>
    <w:rsid w:val="00734411"/>
    <w:rsid w:val="00734AB7"/>
    <w:rsid w:val="007363DF"/>
    <w:rsid w:val="00736881"/>
    <w:rsid w:val="00736BF5"/>
    <w:rsid w:val="00736C15"/>
    <w:rsid w:val="007376D8"/>
    <w:rsid w:val="00737D8C"/>
    <w:rsid w:val="007404BD"/>
    <w:rsid w:val="00740909"/>
    <w:rsid w:val="0074194C"/>
    <w:rsid w:val="00741A1B"/>
    <w:rsid w:val="00741B01"/>
    <w:rsid w:val="00741B8D"/>
    <w:rsid w:val="0074278D"/>
    <w:rsid w:val="0074352C"/>
    <w:rsid w:val="00743735"/>
    <w:rsid w:val="007437CC"/>
    <w:rsid w:val="00743A44"/>
    <w:rsid w:val="00743F98"/>
    <w:rsid w:val="007442C9"/>
    <w:rsid w:val="00744404"/>
    <w:rsid w:val="0074466D"/>
    <w:rsid w:val="00744994"/>
    <w:rsid w:val="00744B5C"/>
    <w:rsid w:val="00744B82"/>
    <w:rsid w:val="00744C83"/>
    <w:rsid w:val="00744CCB"/>
    <w:rsid w:val="007452EA"/>
    <w:rsid w:val="007462BC"/>
    <w:rsid w:val="0074648D"/>
    <w:rsid w:val="007466C1"/>
    <w:rsid w:val="0074690E"/>
    <w:rsid w:val="00746B9C"/>
    <w:rsid w:val="00746CC6"/>
    <w:rsid w:val="00747303"/>
    <w:rsid w:val="00750259"/>
    <w:rsid w:val="00750456"/>
    <w:rsid w:val="0075049F"/>
    <w:rsid w:val="00750558"/>
    <w:rsid w:val="007511DE"/>
    <w:rsid w:val="0075126B"/>
    <w:rsid w:val="007512CF"/>
    <w:rsid w:val="007517C9"/>
    <w:rsid w:val="007517CE"/>
    <w:rsid w:val="0075196E"/>
    <w:rsid w:val="0075261F"/>
    <w:rsid w:val="00752748"/>
    <w:rsid w:val="007529BC"/>
    <w:rsid w:val="007529BF"/>
    <w:rsid w:val="00752BFA"/>
    <w:rsid w:val="0075321C"/>
    <w:rsid w:val="007532D4"/>
    <w:rsid w:val="0075368B"/>
    <w:rsid w:val="00753D6F"/>
    <w:rsid w:val="00753E32"/>
    <w:rsid w:val="0075490D"/>
    <w:rsid w:val="00754A5D"/>
    <w:rsid w:val="00754B65"/>
    <w:rsid w:val="0075571C"/>
    <w:rsid w:val="0075578E"/>
    <w:rsid w:val="007559EB"/>
    <w:rsid w:val="007561DB"/>
    <w:rsid w:val="007564D6"/>
    <w:rsid w:val="0075659E"/>
    <w:rsid w:val="00756934"/>
    <w:rsid w:val="00756D84"/>
    <w:rsid w:val="00756F87"/>
    <w:rsid w:val="007573F6"/>
    <w:rsid w:val="007574D3"/>
    <w:rsid w:val="00757BAD"/>
    <w:rsid w:val="00757C79"/>
    <w:rsid w:val="00757EDB"/>
    <w:rsid w:val="0076006F"/>
    <w:rsid w:val="00760088"/>
    <w:rsid w:val="00760627"/>
    <w:rsid w:val="0076075D"/>
    <w:rsid w:val="00760B76"/>
    <w:rsid w:val="00761C14"/>
    <w:rsid w:val="00761C91"/>
    <w:rsid w:val="00761D34"/>
    <w:rsid w:val="00761F54"/>
    <w:rsid w:val="007620F4"/>
    <w:rsid w:val="00762267"/>
    <w:rsid w:val="00762412"/>
    <w:rsid w:val="0076281A"/>
    <w:rsid w:val="00762E92"/>
    <w:rsid w:val="00762F30"/>
    <w:rsid w:val="00763378"/>
    <w:rsid w:val="007633C3"/>
    <w:rsid w:val="0076365D"/>
    <w:rsid w:val="007643F1"/>
    <w:rsid w:val="007649F1"/>
    <w:rsid w:val="00764F69"/>
    <w:rsid w:val="007653D1"/>
    <w:rsid w:val="007654C7"/>
    <w:rsid w:val="00765D4C"/>
    <w:rsid w:val="00765D7C"/>
    <w:rsid w:val="0076674E"/>
    <w:rsid w:val="00766CE3"/>
    <w:rsid w:val="00766CED"/>
    <w:rsid w:val="007677B8"/>
    <w:rsid w:val="007677F4"/>
    <w:rsid w:val="00767F4A"/>
    <w:rsid w:val="00770412"/>
    <w:rsid w:val="00770A42"/>
    <w:rsid w:val="00771082"/>
    <w:rsid w:val="0077119E"/>
    <w:rsid w:val="007715DE"/>
    <w:rsid w:val="00772494"/>
    <w:rsid w:val="00772CF3"/>
    <w:rsid w:val="0077335D"/>
    <w:rsid w:val="00773BA7"/>
    <w:rsid w:val="00773E15"/>
    <w:rsid w:val="00774D11"/>
    <w:rsid w:val="0077598F"/>
    <w:rsid w:val="00775D4B"/>
    <w:rsid w:val="00775D9F"/>
    <w:rsid w:val="00775E14"/>
    <w:rsid w:val="00776581"/>
    <w:rsid w:val="00776D3E"/>
    <w:rsid w:val="00776FC2"/>
    <w:rsid w:val="00777047"/>
    <w:rsid w:val="00777553"/>
    <w:rsid w:val="00777813"/>
    <w:rsid w:val="00777844"/>
    <w:rsid w:val="0077789A"/>
    <w:rsid w:val="00777925"/>
    <w:rsid w:val="00777926"/>
    <w:rsid w:val="00777B50"/>
    <w:rsid w:val="00777EDF"/>
    <w:rsid w:val="00781928"/>
    <w:rsid w:val="00781A15"/>
    <w:rsid w:val="00781D18"/>
    <w:rsid w:val="00781F10"/>
    <w:rsid w:val="00781F2C"/>
    <w:rsid w:val="00782C79"/>
    <w:rsid w:val="00782F26"/>
    <w:rsid w:val="0078330A"/>
    <w:rsid w:val="00783328"/>
    <w:rsid w:val="00783AED"/>
    <w:rsid w:val="00784449"/>
    <w:rsid w:val="007844D7"/>
    <w:rsid w:val="00785295"/>
    <w:rsid w:val="00785A3B"/>
    <w:rsid w:val="00785A89"/>
    <w:rsid w:val="00785B48"/>
    <w:rsid w:val="0078624C"/>
    <w:rsid w:val="007863A5"/>
    <w:rsid w:val="007867B7"/>
    <w:rsid w:val="00786861"/>
    <w:rsid w:val="007869C5"/>
    <w:rsid w:val="00786D9A"/>
    <w:rsid w:val="00787170"/>
    <w:rsid w:val="00787DF4"/>
    <w:rsid w:val="00787E8F"/>
    <w:rsid w:val="00791081"/>
    <w:rsid w:val="00791374"/>
    <w:rsid w:val="00791888"/>
    <w:rsid w:val="007925C9"/>
    <w:rsid w:val="00792737"/>
    <w:rsid w:val="007928E9"/>
    <w:rsid w:val="00793793"/>
    <w:rsid w:val="00793A36"/>
    <w:rsid w:val="00793CCF"/>
    <w:rsid w:val="00793D5B"/>
    <w:rsid w:val="0079404D"/>
    <w:rsid w:val="007940EC"/>
    <w:rsid w:val="00794C10"/>
    <w:rsid w:val="00795603"/>
    <w:rsid w:val="00795658"/>
    <w:rsid w:val="007958F6"/>
    <w:rsid w:val="007962BC"/>
    <w:rsid w:val="0079655D"/>
    <w:rsid w:val="00796588"/>
    <w:rsid w:val="007968C2"/>
    <w:rsid w:val="007978E6"/>
    <w:rsid w:val="00797BCF"/>
    <w:rsid w:val="00797F46"/>
    <w:rsid w:val="007A003B"/>
    <w:rsid w:val="007A05BD"/>
    <w:rsid w:val="007A0864"/>
    <w:rsid w:val="007A0DC1"/>
    <w:rsid w:val="007A121D"/>
    <w:rsid w:val="007A16EC"/>
    <w:rsid w:val="007A17AA"/>
    <w:rsid w:val="007A1824"/>
    <w:rsid w:val="007A1B34"/>
    <w:rsid w:val="007A2123"/>
    <w:rsid w:val="007A22D3"/>
    <w:rsid w:val="007A262D"/>
    <w:rsid w:val="007A28DE"/>
    <w:rsid w:val="007A2B7C"/>
    <w:rsid w:val="007A2E7B"/>
    <w:rsid w:val="007A3777"/>
    <w:rsid w:val="007A3B9F"/>
    <w:rsid w:val="007A4310"/>
    <w:rsid w:val="007A47C6"/>
    <w:rsid w:val="007A47E7"/>
    <w:rsid w:val="007A4C54"/>
    <w:rsid w:val="007A50BC"/>
    <w:rsid w:val="007A51A2"/>
    <w:rsid w:val="007A5316"/>
    <w:rsid w:val="007A5359"/>
    <w:rsid w:val="007A5F27"/>
    <w:rsid w:val="007A71CB"/>
    <w:rsid w:val="007A75C0"/>
    <w:rsid w:val="007A769C"/>
    <w:rsid w:val="007A7D68"/>
    <w:rsid w:val="007B06C3"/>
    <w:rsid w:val="007B084E"/>
    <w:rsid w:val="007B196F"/>
    <w:rsid w:val="007B1A5A"/>
    <w:rsid w:val="007B30BC"/>
    <w:rsid w:val="007B37AD"/>
    <w:rsid w:val="007B3A2C"/>
    <w:rsid w:val="007B3A49"/>
    <w:rsid w:val="007B3A5E"/>
    <w:rsid w:val="007B3F1E"/>
    <w:rsid w:val="007B4A62"/>
    <w:rsid w:val="007B4CD9"/>
    <w:rsid w:val="007B50D2"/>
    <w:rsid w:val="007B535E"/>
    <w:rsid w:val="007B5392"/>
    <w:rsid w:val="007B5962"/>
    <w:rsid w:val="007B5DDA"/>
    <w:rsid w:val="007B5E9B"/>
    <w:rsid w:val="007B5F91"/>
    <w:rsid w:val="007B61FD"/>
    <w:rsid w:val="007B6541"/>
    <w:rsid w:val="007B681D"/>
    <w:rsid w:val="007B6F05"/>
    <w:rsid w:val="007B6F6A"/>
    <w:rsid w:val="007C0244"/>
    <w:rsid w:val="007C0E85"/>
    <w:rsid w:val="007C113E"/>
    <w:rsid w:val="007C12D8"/>
    <w:rsid w:val="007C17B4"/>
    <w:rsid w:val="007C1B98"/>
    <w:rsid w:val="007C1E9D"/>
    <w:rsid w:val="007C1FDE"/>
    <w:rsid w:val="007C214A"/>
    <w:rsid w:val="007C27BF"/>
    <w:rsid w:val="007C28A9"/>
    <w:rsid w:val="007C32C5"/>
    <w:rsid w:val="007C34F5"/>
    <w:rsid w:val="007C441E"/>
    <w:rsid w:val="007C4525"/>
    <w:rsid w:val="007C497F"/>
    <w:rsid w:val="007C4CAE"/>
    <w:rsid w:val="007C4F60"/>
    <w:rsid w:val="007C53D4"/>
    <w:rsid w:val="007C55BF"/>
    <w:rsid w:val="007C5AED"/>
    <w:rsid w:val="007C5F9E"/>
    <w:rsid w:val="007C616C"/>
    <w:rsid w:val="007C647E"/>
    <w:rsid w:val="007C69BC"/>
    <w:rsid w:val="007C6C7D"/>
    <w:rsid w:val="007C6C93"/>
    <w:rsid w:val="007C6D78"/>
    <w:rsid w:val="007C6EAB"/>
    <w:rsid w:val="007C6FBD"/>
    <w:rsid w:val="007C73B9"/>
    <w:rsid w:val="007C7487"/>
    <w:rsid w:val="007D086C"/>
    <w:rsid w:val="007D0AE4"/>
    <w:rsid w:val="007D0AFF"/>
    <w:rsid w:val="007D0EA1"/>
    <w:rsid w:val="007D0FDB"/>
    <w:rsid w:val="007D1338"/>
    <w:rsid w:val="007D17F8"/>
    <w:rsid w:val="007D19D8"/>
    <w:rsid w:val="007D19F6"/>
    <w:rsid w:val="007D2241"/>
    <w:rsid w:val="007D22CA"/>
    <w:rsid w:val="007D25E1"/>
    <w:rsid w:val="007D2BAC"/>
    <w:rsid w:val="007D2CAF"/>
    <w:rsid w:val="007D2DFA"/>
    <w:rsid w:val="007D3079"/>
    <w:rsid w:val="007D3D39"/>
    <w:rsid w:val="007D427C"/>
    <w:rsid w:val="007D44A8"/>
    <w:rsid w:val="007D45D9"/>
    <w:rsid w:val="007D4691"/>
    <w:rsid w:val="007D4889"/>
    <w:rsid w:val="007D49DB"/>
    <w:rsid w:val="007D4BB0"/>
    <w:rsid w:val="007D5185"/>
    <w:rsid w:val="007D644B"/>
    <w:rsid w:val="007D64F8"/>
    <w:rsid w:val="007D6741"/>
    <w:rsid w:val="007D6B70"/>
    <w:rsid w:val="007D6BC9"/>
    <w:rsid w:val="007D6CE7"/>
    <w:rsid w:val="007D6DBF"/>
    <w:rsid w:val="007D6F7B"/>
    <w:rsid w:val="007E01EF"/>
    <w:rsid w:val="007E12BC"/>
    <w:rsid w:val="007E19F4"/>
    <w:rsid w:val="007E1E91"/>
    <w:rsid w:val="007E2655"/>
    <w:rsid w:val="007E2BBB"/>
    <w:rsid w:val="007E2D48"/>
    <w:rsid w:val="007E35D6"/>
    <w:rsid w:val="007E37B6"/>
    <w:rsid w:val="007E3C9E"/>
    <w:rsid w:val="007E446F"/>
    <w:rsid w:val="007E46AB"/>
    <w:rsid w:val="007E4834"/>
    <w:rsid w:val="007E4A83"/>
    <w:rsid w:val="007E50A2"/>
    <w:rsid w:val="007E51A8"/>
    <w:rsid w:val="007E53C5"/>
    <w:rsid w:val="007E57DC"/>
    <w:rsid w:val="007E5827"/>
    <w:rsid w:val="007E5861"/>
    <w:rsid w:val="007E59A6"/>
    <w:rsid w:val="007E5F55"/>
    <w:rsid w:val="007E64AD"/>
    <w:rsid w:val="007E6576"/>
    <w:rsid w:val="007E6614"/>
    <w:rsid w:val="007E6CCB"/>
    <w:rsid w:val="007E75BD"/>
    <w:rsid w:val="007E7D4C"/>
    <w:rsid w:val="007E7F57"/>
    <w:rsid w:val="007F022A"/>
    <w:rsid w:val="007F03AA"/>
    <w:rsid w:val="007F08FC"/>
    <w:rsid w:val="007F0AD0"/>
    <w:rsid w:val="007F1112"/>
    <w:rsid w:val="007F114C"/>
    <w:rsid w:val="007F11D3"/>
    <w:rsid w:val="007F18EA"/>
    <w:rsid w:val="007F1E57"/>
    <w:rsid w:val="007F297A"/>
    <w:rsid w:val="007F2F02"/>
    <w:rsid w:val="007F2FD6"/>
    <w:rsid w:val="007F3002"/>
    <w:rsid w:val="007F301E"/>
    <w:rsid w:val="007F4117"/>
    <w:rsid w:val="007F42E2"/>
    <w:rsid w:val="007F455B"/>
    <w:rsid w:val="007F4604"/>
    <w:rsid w:val="007F4688"/>
    <w:rsid w:val="007F4773"/>
    <w:rsid w:val="007F4BAF"/>
    <w:rsid w:val="007F4FCB"/>
    <w:rsid w:val="007F5022"/>
    <w:rsid w:val="007F52A2"/>
    <w:rsid w:val="007F582A"/>
    <w:rsid w:val="007F584C"/>
    <w:rsid w:val="007F5D30"/>
    <w:rsid w:val="007F5D57"/>
    <w:rsid w:val="007F60C5"/>
    <w:rsid w:val="007F6624"/>
    <w:rsid w:val="007F6D44"/>
    <w:rsid w:val="007F7153"/>
    <w:rsid w:val="007F73FF"/>
    <w:rsid w:val="00800000"/>
    <w:rsid w:val="008006F5"/>
    <w:rsid w:val="00800879"/>
    <w:rsid w:val="00800EE5"/>
    <w:rsid w:val="00801777"/>
    <w:rsid w:val="00801923"/>
    <w:rsid w:val="00801BFC"/>
    <w:rsid w:val="00801F8E"/>
    <w:rsid w:val="008020D7"/>
    <w:rsid w:val="008025BC"/>
    <w:rsid w:val="00802CAC"/>
    <w:rsid w:val="0080309C"/>
    <w:rsid w:val="008034E4"/>
    <w:rsid w:val="008034F6"/>
    <w:rsid w:val="0080366B"/>
    <w:rsid w:val="00803889"/>
    <w:rsid w:val="00803967"/>
    <w:rsid w:val="00803B2F"/>
    <w:rsid w:val="00804214"/>
    <w:rsid w:val="00804868"/>
    <w:rsid w:val="00805135"/>
    <w:rsid w:val="00805676"/>
    <w:rsid w:val="00805AE4"/>
    <w:rsid w:val="00805D99"/>
    <w:rsid w:val="00806126"/>
    <w:rsid w:val="0080642E"/>
    <w:rsid w:val="0080674D"/>
    <w:rsid w:val="00806CB2"/>
    <w:rsid w:val="00806E4F"/>
    <w:rsid w:val="00806F0D"/>
    <w:rsid w:val="0080760E"/>
    <w:rsid w:val="00807BFD"/>
    <w:rsid w:val="008104CA"/>
    <w:rsid w:val="00810A3D"/>
    <w:rsid w:val="00810B90"/>
    <w:rsid w:val="00810CE3"/>
    <w:rsid w:val="00811782"/>
    <w:rsid w:val="00811FE0"/>
    <w:rsid w:val="00812078"/>
    <w:rsid w:val="0081212B"/>
    <w:rsid w:val="008122F3"/>
    <w:rsid w:val="00812332"/>
    <w:rsid w:val="00812479"/>
    <w:rsid w:val="00812CDA"/>
    <w:rsid w:val="00813218"/>
    <w:rsid w:val="0081327E"/>
    <w:rsid w:val="008136FD"/>
    <w:rsid w:val="0081387A"/>
    <w:rsid w:val="00813C3F"/>
    <w:rsid w:val="00814653"/>
    <w:rsid w:val="0081465C"/>
    <w:rsid w:val="00814A23"/>
    <w:rsid w:val="00814F42"/>
    <w:rsid w:val="00814FF0"/>
    <w:rsid w:val="008150A3"/>
    <w:rsid w:val="00815153"/>
    <w:rsid w:val="008155A7"/>
    <w:rsid w:val="00815D12"/>
    <w:rsid w:val="008164A7"/>
    <w:rsid w:val="00816543"/>
    <w:rsid w:val="008168D0"/>
    <w:rsid w:val="0081694A"/>
    <w:rsid w:val="00816F76"/>
    <w:rsid w:val="00817AC6"/>
    <w:rsid w:val="00817B0D"/>
    <w:rsid w:val="00817B6A"/>
    <w:rsid w:val="00817C79"/>
    <w:rsid w:val="00820582"/>
    <w:rsid w:val="0082064C"/>
    <w:rsid w:val="008206AA"/>
    <w:rsid w:val="008209BE"/>
    <w:rsid w:val="00820BB2"/>
    <w:rsid w:val="00820C2E"/>
    <w:rsid w:val="00821173"/>
    <w:rsid w:val="00821402"/>
    <w:rsid w:val="00821811"/>
    <w:rsid w:val="00821E1B"/>
    <w:rsid w:val="00822B10"/>
    <w:rsid w:val="00822D50"/>
    <w:rsid w:val="00822ECC"/>
    <w:rsid w:val="00823309"/>
    <w:rsid w:val="00823653"/>
    <w:rsid w:val="00823970"/>
    <w:rsid w:val="008241F2"/>
    <w:rsid w:val="008242A9"/>
    <w:rsid w:val="008246DA"/>
    <w:rsid w:val="00824A3A"/>
    <w:rsid w:val="00824E97"/>
    <w:rsid w:val="0082527D"/>
    <w:rsid w:val="008255C3"/>
    <w:rsid w:val="008255E3"/>
    <w:rsid w:val="00825863"/>
    <w:rsid w:val="00825876"/>
    <w:rsid w:val="00825B98"/>
    <w:rsid w:val="00825BF3"/>
    <w:rsid w:val="00825C5C"/>
    <w:rsid w:val="00825EF6"/>
    <w:rsid w:val="008260D1"/>
    <w:rsid w:val="0082658C"/>
    <w:rsid w:val="0082670B"/>
    <w:rsid w:val="00826845"/>
    <w:rsid w:val="00826DD7"/>
    <w:rsid w:val="00826E88"/>
    <w:rsid w:val="00827AA3"/>
    <w:rsid w:val="00827AAB"/>
    <w:rsid w:val="00827CD8"/>
    <w:rsid w:val="00827CF3"/>
    <w:rsid w:val="00827E3D"/>
    <w:rsid w:val="00827FA7"/>
    <w:rsid w:val="00830351"/>
    <w:rsid w:val="008303A3"/>
    <w:rsid w:val="00830B32"/>
    <w:rsid w:val="00830C38"/>
    <w:rsid w:val="008313BA"/>
    <w:rsid w:val="008317C3"/>
    <w:rsid w:val="00831813"/>
    <w:rsid w:val="00831A95"/>
    <w:rsid w:val="00831B32"/>
    <w:rsid w:val="00831C69"/>
    <w:rsid w:val="008329A5"/>
    <w:rsid w:val="00832B27"/>
    <w:rsid w:val="00832BE9"/>
    <w:rsid w:val="00833029"/>
    <w:rsid w:val="008347A8"/>
    <w:rsid w:val="00834A18"/>
    <w:rsid w:val="0083524D"/>
    <w:rsid w:val="00835540"/>
    <w:rsid w:val="0083586D"/>
    <w:rsid w:val="008358E9"/>
    <w:rsid w:val="00835A2A"/>
    <w:rsid w:val="00836445"/>
    <w:rsid w:val="00836710"/>
    <w:rsid w:val="00836893"/>
    <w:rsid w:val="0083708E"/>
    <w:rsid w:val="0083717B"/>
    <w:rsid w:val="008371E1"/>
    <w:rsid w:val="00837342"/>
    <w:rsid w:val="0083753F"/>
    <w:rsid w:val="0083765C"/>
    <w:rsid w:val="00837E9D"/>
    <w:rsid w:val="0084011F"/>
    <w:rsid w:val="00840141"/>
    <w:rsid w:val="00841036"/>
    <w:rsid w:val="00841143"/>
    <w:rsid w:val="008414FB"/>
    <w:rsid w:val="00841A4F"/>
    <w:rsid w:val="00841DEF"/>
    <w:rsid w:val="00842947"/>
    <w:rsid w:val="00842A5C"/>
    <w:rsid w:val="00843236"/>
    <w:rsid w:val="00843282"/>
    <w:rsid w:val="008434DC"/>
    <w:rsid w:val="00843869"/>
    <w:rsid w:val="00843899"/>
    <w:rsid w:val="00843BF4"/>
    <w:rsid w:val="00843C53"/>
    <w:rsid w:val="00844879"/>
    <w:rsid w:val="00844BFA"/>
    <w:rsid w:val="00845372"/>
    <w:rsid w:val="00845377"/>
    <w:rsid w:val="00845465"/>
    <w:rsid w:val="00845EAC"/>
    <w:rsid w:val="0084641A"/>
    <w:rsid w:val="00846485"/>
    <w:rsid w:val="008464CC"/>
    <w:rsid w:val="00846BD2"/>
    <w:rsid w:val="00847461"/>
    <w:rsid w:val="008474B6"/>
    <w:rsid w:val="00847632"/>
    <w:rsid w:val="00847C98"/>
    <w:rsid w:val="0085061A"/>
    <w:rsid w:val="008506A0"/>
    <w:rsid w:val="008506FD"/>
    <w:rsid w:val="008507AB"/>
    <w:rsid w:val="0085088E"/>
    <w:rsid w:val="00850E5B"/>
    <w:rsid w:val="00850EC3"/>
    <w:rsid w:val="00851102"/>
    <w:rsid w:val="008512F7"/>
    <w:rsid w:val="008513FC"/>
    <w:rsid w:val="00852073"/>
    <w:rsid w:val="00852077"/>
    <w:rsid w:val="008525DD"/>
    <w:rsid w:val="00852E59"/>
    <w:rsid w:val="00852FCD"/>
    <w:rsid w:val="008538B2"/>
    <w:rsid w:val="0085396C"/>
    <w:rsid w:val="00853AD6"/>
    <w:rsid w:val="00854315"/>
    <w:rsid w:val="008548F1"/>
    <w:rsid w:val="00854F21"/>
    <w:rsid w:val="00855912"/>
    <w:rsid w:val="00855C34"/>
    <w:rsid w:val="00856E69"/>
    <w:rsid w:val="008573CF"/>
    <w:rsid w:val="008577A1"/>
    <w:rsid w:val="00857FE2"/>
    <w:rsid w:val="008603D6"/>
    <w:rsid w:val="0086057C"/>
    <w:rsid w:val="00860A53"/>
    <w:rsid w:val="00860ED5"/>
    <w:rsid w:val="00861F0D"/>
    <w:rsid w:val="00861F12"/>
    <w:rsid w:val="008623DA"/>
    <w:rsid w:val="00862543"/>
    <w:rsid w:val="008625ED"/>
    <w:rsid w:val="00863611"/>
    <w:rsid w:val="008636F6"/>
    <w:rsid w:val="00863B06"/>
    <w:rsid w:val="00863BE5"/>
    <w:rsid w:val="00863D4B"/>
    <w:rsid w:val="00863F04"/>
    <w:rsid w:val="008647A1"/>
    <w:rsid w:val="0086487F"/>
    <w:rsid w:val="008650DC"/>
    <w:rsid w:val="0086565E"/>
    <w:rsid w:val="00865A30"/>
    <w:rsid w:val="00865B5B"/>
    <w:rsid w:val="00866CE4"/>
    <w:rsid w:val="00866E8C"/>
    <w:rsid w:val="00866FE2"/>
    <w:rsid w:val="00867487"/>
    <w:rsid w:val="00867E04"/>
    <w:rsid w:val="0087088C"/>
    <w:rsid w:val="00870DAE"/>
    <w:rsid w:val="00870F5F"/>
    <w:rsid w:val="0087189F"/>
    <w:rsid w:val="00871BE1"/>
    <w:rsid w:val="00871CA5"/>
    <w:rsid w:val="00871ED1"/>
    <w:rsid w:val="0087205A"/>
    <w:rsid w:val="00872105"/>
    <w:rsid w:val="0087268E"/>
    <w:rsid w:val="00872B7B"/>
    <w:rsid w:val="00872CB6"/>
    <w:rsid w:val="00872DAF"/>
    <w:rsid w:val="008740E5"/>
    <w:rsid w:val="008748DB"/>
    <w:rsid w:val="00874D61"/>
    <w:rsid w:val="00874E28"/>
    <w:rsid w:val="00875047"/>
    <w:rsid w:val="008756E6"/>
    <w:rsid w:val="00875911"/>
    <w:rsid w:val="008769DA"/>
    <w:rsid w:val="00876E18"/>
    <w:rsid w:val="00877524"/>
    <w:rsid w:val="00877B8B"/>
    <w:rsid w:val="00880175"/>
    <w:rsid w:val="00880574"/>
    <w:rsid w:val="00880F0B"/>
    <w:rsid w:val="00881090"/>
    <w:rsid w:val="0088138F"/>
    <w:rsid w:val="008817DE"/>
    <w:rsid w:val="00881C0F"/>
    <w:rsid w:val="00881C5C"/>
    <w:rsid w:val="00881DBE"/>
    <w:rsid w:val="008822CC"/>
    <w:rsid w:val="0088256F"/>
    <w:rsid w:val="00882791"/>
    <w:rsid w:val="00882FFE"/>
    <w:rsid w:val="00883037"/>
    <w:rsid w:val="0088308A"/>
    <w:rsid w:val="008831C2"/>
    <w:rsid w:val="008832A9"/>
    <w:rsid w:val="00883692"/>
    <w:rsid w:val="008837A4"/>
    <w:rsid w:val="00883D29"/>
    <w:rsid w:val="0088445A"/>
    <w:rsid w:val="008846F2"/>
    <w:rsid w:val="00884AAF"/>
    <w:rsid w:val="00885330"/>
    <w:rsid w:val="008853B6"/>
    <w:rsid w:val="0088577C"/>
    <w:rsid w:val="0088578E"/>
    <w:rsid w:val="0088594A"/>
    <w:rsid w:val="008861F8"/>
    <w:rsid w:val="008862BE"/>
    <w:rsid w:val="00886360"/>
    <w:rsid w:val="008868CB"/>
    <w:rsid w:val="00886CBA"/>
    <w:rsid w:val="00886D74"/>
    <w:rsid w:val="0088741B"/>
    <w:rsid w:val="008901BF"/>
    <w:rsid w:val="00890929"/>
    <w:rsid w:val="00890AD8"/>
    <w:rsid w:val="00891F9A"/>
    <w:rsid w:val="00892A7D"/>
    <w:rsid w:val="008932DA"/>
    <w:rsid w:val="008933E7"/>
    <w:rsid w:val="0089357A"/>
    <w:rsid w:val="00893901"/>
    <w:rsid w:val="008944DE"/>
    <w:rsid w:val="008948CA"/>
    <w:rsid w:val="00894C63"/>
    <w:rsid w:val="00894E13"/>
    <w:rsid w:val="00894EB2"/>
    <w:rsid w:val="00895309"/>
    <w:rsid w:val="008957AD"/>
    <w:rsid w:val="00895C3E"/>
    <w:rsid w:val="008960DA"/>
    <w:rsid w:val="0089685D"/>
    <w:rsid w:val="00896BCB"/>
    <w:rsid w:val="00897864"/>
    <w:rsid w:val="00897C25"/>
    <w:rsid w:val="008A058B"/>
    <w:rsid w:val="008A081B"/>
    <w:rsid w:val="008A0926"/>
    <w:rsid w:val="008A1494"/>
    <w:rsid w:val="008A1C7D"/>
    <w:rsid w:val="008A26A7"/>
    <w:rsid w:val="008A3058"/>
    <w:rsid w:val="008A359B"/>
    <w:rsid w:val="008A418B"/>
    <w:rsid w:val="008A4417"/>
    <w:rsid w:val="008A45B6"/>
    <w:rsid w:val="008A4881"/>
    <w:rsid w:val="008A49A8"/>
    <w:rsid w:val="008A4C24"/>
    <w:rsid w:val="008A5290"/>
    <w:rsid w:val="008A540E"/>
    <w:rsid w:val="008A5AD7"/>
    <w:rsid w:val="008A5D72"/>
    <w:rsid w:val="008A63E3"/>
    <w:rsid w:val="008A67B1"/>
    <w:rsid w:val="008A682A"/>
    <w:rsid w:val="008A697B"/>
    <w:rsid w:val="008A72E6"/>
    <w:rsid w:val="008A751C"/>
    <w:rsid w:val="008A76FB"/>
    <w:rsid w:val="008A7772"/>
    <w:rsid w:val="008A799A"/>
    <w:rsid w:val="008B040C"/>
    <w:rsid w:val="008B1323"/>
    <w:rsid w:val="008B1844"/>
    <w:rsid w:val="008B1C5C"/>
    <w:rsid w:val="008B1E35"/>
    <w:rsid w:val="008B1F13"/>
    <w:rsid w:val="008B1F22"/>
    <w:rsid w:val="008B274C"/>
    <w:rsid w:val="008B28B2"/>
    <w:rsid w:val="008B2A4D"/>
    <w:rsid w:val="008B3A5F"/>
    <w:rsid w:val="008B3B73"/>
    <w:rsid w:val="008B3D76"/>
    <w:rsid w:val="008B3E56"/>
    <w:rsid w:val="008B40E9"/>
    <w:rsid w:val="008B423C"/>
    <w:rsid w:val="008B4C37"/>
    <w:rsid w:val="008B5115"/>
    <w:rsid w:val="008B5488"/>
    <w:rsid w:val="008B63B0"/>
    <w:rsid w:val="008B6B34"/>
    <w:rsid w:val="008B7985"/>
    <w:rsid w:val="008B7A63"/>
    <w:rsid w:val="008B7D93"/>
    <w:rsid w:val="008C002C"/>
    <w:rsid w:val="008C10CF"/>
    <w:rsid w:val="008C13D0"/>
    <w:rsid w:val="008C20B4"/>
    <w:rsid w:val="008C24C9"/>
    <w:rsid w:val="008C26C8"/>
    <w:rsid w:val="008C278A"/>
    <w:rsid w:val="008C2A4A"/>
    <w:rsid w:val="008C2AB0"/>
    <w:rsid w:val="008C32AB"/>
    <w:rsid w:val="008C3909"/>
    <w:rsid w:val="008C3A8D"/>
    <w:rsid w:val="008C3AE0"/>
    <w:rsid w:val="008C3D09"/>
    <w:rsid w:val="008C41C0"/>
    <w:rsid w:val="008C4C10"/>
    <w:rsid w:val="008C4F1D"/>
    <w:rsid w:val="008C51A6"/>
    <w:rsid w:val="008C5261"/>
    <w:rsid w:val="008C52D9"/>
    <w:rsid w:val="008C5866"/>
    <w:rsid w:val="008C58DC"/>
    <w:rsid w:val="008C59C4"/>
    <w:rsid w:val="008C5B17"/>
    <w:rsid w:val="008C6152"/>
    <w:rsid w:val="008C6F06"/>
    <w:rsid w:val="008C6FB6"/>
    <w:rsid w:val="008C731A"/>
    <w:rsid w:val="008C7550"/>
    <w:rsid w:val="008C76EA"/>
    <w:rsid w:val="008C775B"/>
    <w:rsid w:val="008C7D08"/>
    <w:rsid w:val="008D020A"/>
    <w:rsid w:val="008D0760"/>
    <w:rsid w:val="008D0890"/>
    <w:rsid w:val="008D0935"/>
    <w:rsid w:val="008D093C"/>
    <w:rsid w:val="008D0D5B"/>
    <w:rsid w:val="008D16D4"/>
    <w:rsid w:val="008D1829"/>
    <w:rsid w:val="008D202F"/>
    <w:rsid w:val="008D2A40"/>
    <w:rsid w:val="008D3553"/>
    <w:rsid w:val="008D3607"/>
    <w:rsid w:val="008D3745"/>
    <w:rsid w:val="008D3816"/>
    <w:rsid w:val="008D3973"/>
    <w:rsid w:val="008D3985"/>
    <w:rsid w:val="008D3CBF"/>
    <w:rsid w:val="008D4BCB"/>
    <w:rsid w:val="008D4D45"/>
    <w:rsid w:val="008D4DB8"/>
    <w:rsid w:val="008D4DBA"/>
    <w:rsid w:val="008D54AC"/>
    <w:rsid w:val="008D5C41"/>
    <w:rsid w:val="008D5CCC"/>
    <w:rsid w:val="008D61BC"/>
    <w:rsid w:val="008D6248"/>
    <w:rsid w:val="008D662F"/>
    <w:rsid w:val="008D674C"/>
    <w:rsid w:val="008D69B0"/>
    <w:rsid w:val="008D6B4B"/>
    <w:rsid w:val="008D7394"/>
    <w:rsid w:val="008D7629"/>
    <w:rsid w:val="008D7831"/>
    <w:rsid w:val="008D7962"/>
    <w:rsid w:val="008D7A45"/>
    <w:rsid w:val="008E09AB"/>
    <w:rsid w:val="008E0A64"/>
    <w:rsid w:val="008E0B2A"/>
    <w:rsid w:val="008E0C56"/>
    <w:rsid w:val="008E0E0F"/>
    <w:rsid w:val="008E1138"/>
    <w:rsid w:val="008E15A3"/>
    <w:rsid w:val="008E1674"/>
    <w:rsid w:val="008E17BB"/>
    <w:rsid w:val="008E1945"/>
    <w:rsid w:val="008E1BAB"/>
    <w:rsid w:val="008E235A"/>
    <w:rsid w:val="008E2593"/>
    <w:rsid w:val="008E2967"/>
    <w:rsid w:val="008E2EE6"/>
    <w:rsid w:val="008E2F2F"/>
    <w:rsid w:val="008E2FEA"/>
    <w:rsid w:val="008E348B"/>
    <w:rsid w:val="008E37E8"/>
    <w:rsid w:val="008E389F"/>
    <w:rsid w:val="008E3C40"/>
    <w:rsid w:val="008E3EEF"/>
    <w:rsid w:val="008E43E9"/>
    <w:rsid w:val="008E461C"/>
    <w:rsid w:val="008E488A"/>
    <w:rsid w:val="008E5552"/>
    <w:rsid w:val="008E6155"/>
    <w:rsid w:val="008E642C"/>
    <w:rsid w:val="008E66DC"/>
    <w:rsid w:val="008E67F4"/>
    <w:rsid w:val="008E6A67"/>
    <w:rsid w:val="008E6CC0"/>
    <w:rsid w:val="008E71DF"/>
    <w:rsid w:val="008E75EA"/>
    <w:rsid w:val="008E763D"/>
    <w:rsid w:val="008E7BCF"/>
    <w:rsid w:val="008E7CC7"/>
    <w:rsid w:val="008F0331"/>
    <w:rsid w:val="008F03E0"/>
    <w:rsid w:val="008F0CC2"/>
    <w:rsid w:val="008F1E0F"/>
    <w:rsid w:val="008F1E97"/>
    <w:rsid w:val="008F1EBA"/>
    <w:rsid w:val="008F2172"/>
    <w:rsid w:val="008F2373"/>
    <w:rsid w:val="008F339C"/>
    <w:rsid w:val="008F3957"/>
    <w:rsid w:val="008F3C2C"/>
    <w:rsid w:val="008F3D3A"/>
    <w:rsid w:val="008F44AE"/>
    <w:rsid w:val="008F4D27"/>
    <w:rsid w:val="008F4D77"/>
    <w:rsid w:val="008F5A97"/>
    <w:rsid w:val="008F5BD9"/>
    <w:rsid w:val="008F5C5F"/>
    <w:rsid w:val="008F6011"/>
    <w:rsid w:val="008F605C"/>
    <w:rsid w:val="008F6159"/>
    <w:rsid w:val="008F6479"/>
    <w:rsid w:val="008F68F3"/>
    <w:rsid w:val="008F6A07"/>
    <w:rsid w:val="008F6F73"/>
    <w:rsid w:val="008F7070"/>
    <w:rsid w:val="008F75DB"/>
    <w:rsid w:val="008F7F29"/>
    <w:rsid w:val="009001C1"/>
    <w:rsid w:val="00900206"/>
    <w:rsid w:val="00900D42"/>
    <w:rsid w:val="009017B5"/>
    <w:rsid w:val="00901F91"/>
    <w:rsid w:val="00902FD0"/>
    <w:rsid w:val="0090381C"/>
    <w:rsid w:val="00903D36"/>
    <w:rsid w:val="00903F8C"/>
    <w:rsid w:val="0090433F"/>
    <w:rsid w:val="00904604"/>
    <w:rsid w:val="0090463C"/>
    <w:rsid w:val="0090479D"/>
    <w:rsid w:val="009048C9"/>
    <w:rsid w:val="009051A4"/>
    <w:rsid w:val="0090536E"/>
    <w:rsid w:val="009057BB"/>
    <w:rsid w:val="00905837"/>
    <w:rsid w:val="00905904"/>
    <w:rsid w:val="009059A8"/>
    <w:rsid w:val="009059BA"/>
    <w:rsid w:val="00906351"/>
    <w:rsid w:val="00906407"/>
    <w:rsid w:val="0090655E"/>
    <w:rsid w:val="00906B6F"/>
    <w:rsid w:val="00907072"/>
    <w:rsid w:val="00907076"/>
    <w:rsid w:val="00907317"/>
    <w:rsid w:val="0090764B"/>
    <w:rsid w:val="00907A77"/>
    <w:rsid w:val="00907E35"/>
    <w:rsid w:val="00910417"/>
    <w:rsid w:val="00910D00"/>
    <w:rsid w:val="00910E27"/>
    <w:rsid w:val="00910F36"/>
    <w:rsid w:val="009112A2"/>
    <w:rsid w:val="009117BF"/>
    <w:rsid w:val="00911814"/>
    <w:rsid w:val="00911911"/>
    <w:rsid w:val="00912897"/>
    <w:rsid w:val="0091303F"/>
    <w:rsid w:val="009132B8"/>
    <w:rsid w:val="00913529"/>
    <w:rsid w:val="00913699"/>
    <w:rsid w:val="0091371B"/>
    <w:rsid w:val="009145F6"/>
    <w:rsid w:val="0091468E"/>
    <w:rsid w:val="00914843"/>
    <w:rsid w:val="0091490F"/>
    <w:rsid w:val="00914BBD"/>
    <w:rsid w:val="00914EB7"/>
    <w:rsid w:val="00914FAF"/>
    <w:rsid w:val="00915065"/>
    <w:rsid w:val="0091544C"/>
    <w:rsid w:val="00915C01"/>
    <w:rsid w:val="0091621D"/>
    <w:rsid w:val="00916668"/>
    <w:rsid w:val="00916740"/>
    <w:rsid w:val="0091684C"/>
    <w:rsid w:val="00916965"/>
    <w:rsid w:val="00916CD7"/>
    <w:rsid w:val="00916FB6"/>
    <w:rsid w:val="00916FB8"/>
    <w:rsid w:val="00917049"/>
    <w:rsid w:val="00917060"/>
    <w:rsid w:val="00917280"/>
    <w:rsid w:val="00917643"/>
    <w:rsid w:val="009177D6"/>
    <w:rsid w:val="00917DE4"/>
    <w:rsid w:val="009200A1"/>
    <w:rsid w:val="009209EA"/>
    <w:rsid w:val="00920EDF"/>
    <w:rsid w:val="00920EF8"/>
    <w:rsid w:val="00921702"/>
    <w:rsid w:val="009218E6"/>
    <w:rsid w:val="00921DE7"/>
    <w:rsid w:val="00922181"/>
    <w:rsid w:val="00922222"/>
    <w:rsid w:val="009223FA"/>
    <w:rsid w:val="00922ED8"/>
    <w:rsid w:val="009239E1"/>
    <w:rsid w:val="00924393"/>
    <w:rsid w:val="009244D5"/>
    <w:rsid w:val="009247D9"/>
    <w:rsid w:val="00924B5A"/>
    <w:rsid w:val="00924E8A"/>
    <w:rsid w:val="00925908"/>
    <w:rsid w:val="00925C96"/>
    <w:rsid w:val="00926015"/>
    <w:rsid w:val="009260ED"/>
    <w:rsid w:val="00926494"/>
    <w:rsid w:val="00927A55"/>
    <w:rsid w:val="00927B8A"/>
    <w:rsid w:val="00927CE6"/>
    <w:rsid w:val="009302E9"/>
    <w:rsid w:val="009304F9"/>
    <w:rsid w:val="00930B41"/>
    <w:rsid w:val="00930CE9"/>
    <w:rsid w:val="00931633"/>
    <w:rsid w:val="00931AD9"/>
    <w:rsid w:val="00931BED"/>
    <w:rsid w:val="00931D4C"/>
    <w:rsid w:val="0093284A"/>
    <w:rsid w:val="0093295D"/>
    <w:rsid w:val="00933027"/>
    <w:rsid w:val="00933182"/>
    <w:rsid w:val="0093323D"/>
    <w:rsid w:val="00933324"/>
    <w:rsid w:val="00934402"/>
    <w:rsid w:val="0093502E"/>
    <w:rsid w:val="009350CC"/>
    <w:rsid w:val="00935291"/>
    <w:rsid w:val="009357C7"/>
    <w:rsid w:val="009358D1"/>
    <w:rsid w:val="00935D87"/>
    <w:rsid w:val="00936ECC"/>
    <w:rsid w:val="00937024"/>
    <w:rsid w:val="00937085"/>
    <w:rsid w:val="00937463"/>
    <w:rsid w:val="009375D5"/>
    <w:rsid w:val="009379BE"/>
    <w:rsid w:val="00937F95"/>
    <w:rsid w:val="00940947"/>
    <w:rsid w:val="00940E0D"/>
    <w:rsid w:val="00941254"/>
    <w:rsid w:val="00941272"/>
    <w:rsid w:val="0094160C"/>
    <w:rsid w:val="0094178F"/>
    <w:rsid w:val="009417AC"/>
    <w:rsid w:val="009419D8"/>
    <w:rsid w:val="00942DFB"/>
    <w:rsid w:val="0094327A"/>
    <w:rsid w:val="00944593"/>
    <w:rsid w:val="009447F6"/>
    <w:rsid w:val="00944A7E"/>
    <w:rsid w:val="00944B93"/>
    <w:rsid w:val="0094524D"/>
    <w:rsid w:val="00945B63"/>
    <w:rsid w:val="009460CE"/>
    <w:rsid w:val="0094732B"/>
    <w:rsid w:val="00947389"/>
    <w:rsid w:val="009475AC"/>
    <w:rsid w:val="0094774C"/>
    <w:rsid w:val="0094776F"/>
    <w:rsid w:val="00950A69"/>
    <w:rsid w:val="00950FB4"/>
    <w:rsid w:val="009510A3"/>
    <w:rsid w:val="009514F3"/>
    <w:rsid w:val="0095155B"/>
    <w:rsid w:val="00951808"/>
    <w:rsid w:val="00951B95"/>
    <w:rsid w:val="00951BE8"/>
    <w:rsid w:val="00951D0C"/>
    <w:rsid w:val="009522D1"/>
    <w:rsid w:val="00952A2A"/>
    <w:rsid w:val="00952D76"/>
    <w:rsid w:val="00953546"/>
    <w:rsid w:val="0095364C"/>
    <w:rsid w:val="009539B9"/>
    <w:rsid w:val="00953C70"/>
    <w:rsid w:val="009544C6"/>
    <w:rsid w:val="009545D1"/>
    <w:rsid w:val="00954A09"/>
    <w:rsid w:val="00954A84"/>
    <w:rsid w:val="00954C51"/>
    <w:rsid w:val="00954FD8"/>
    <w:rsid w:val="00955209"/>
    <w:rsid w:val="0095533B"/>
    <w:rsid w:val="00956574"/>
    <w:rsid w:val="009565AD"/>
    <w:rsid w:val="009565C6"/>
    <w:rsid w:val="009569A0"/>
    <w:rsid w:val="00956AC4"/>
    <w:rsid w:val="00956C26"/>
    <w:rsid w:val="00956C9A"/>
    <w:rsid w:val="00957454"/>
    <w:rsid w:val="0095773D"/>
    <w:rsid w:val="0095784A"/>
    <w:rsid w:val="009603CB"/>
    <w:rsid w:val="00960497"/>
    <w:rsid w:val="009609E3"/>
    <w:rsid w:val="00960B9D"/>
    <w:rsid w:val="00960C1B"/>
    <w:rsid w:val="00960E2D"/>
    <w:rsid w:val="00960E77"/>
    <w:rsid w:val="00960E97"/>
    <w:rsid w:val="00960F4C"/>
    <w:rsid w:val="009612FE"/>
    <w:rsid w:val="009615BB"/>
    <w:rsid w:val="00961E9D"/>
    <w:rsid w:val="0096216A"/>
    <w:rsid w:val="009628E9"/>
    <w:rsid w:val="00962E42"/>
    <w:rsid w:val="00962FC5"/>
    <w:rsid w:val="009630A8"/>
    <w:rsid w:val="00963201"/>
    <w:rsid w:val="0096346A"/>
    <w:rsid w:val="0096356D"/>
    <w:rsid w:val="009639F2"/>
    <w:rsid w:val="0096419C"/>
    <w:rsid w:val="0096436C"/>
    <w:rsid w:val="0096529C"/>
    <w:rsid w:val="0096556C"/>
    <w:rsid w:val="00965A49"/>
    <w:rsid w:val="00966049"/>
    <w:rsid w:val="00966303"/>
    <w:rsid w:val="00966319"/>
    <w:rsid w:val="00966D75"/>
    <w:rsid w:val="0096712F"/>
    <w:rsid w:val="009672E3"/>
    <w:rsid w:val="009677CC"/>
    <w:rsid w:val="00967AC4"/>
    <w:rsid w:val="00967B30"/>
    <w:rsid w:val="009704F8"/>
    <w:rsid w:val="0097064B"/>
    <w:rsid w:val="0097096A"/>
    <w:rsid w:val="009716D8"/>
    <w:rsid w:val="00972346"/>
    <w:rsid w:val="009725D4"/>
    <w:rsid w:val="00972ABF"/>
    <w:rsid w:val="00973046"/>
    <w:rsid w:val="00973221"/>
    <w:rsid w:val="0097324E"/>
    <w:rsid w:val="009739BF"/>
    <w:rsid w:val="00974441"/>
    <w:rsid w:val="009749B7"/>
    <w:rsid w:val="00974D37"/>
    <w:rsid w:val="00974E07"/>
    <w:rsid w:val="00974F55"/>
    <w:rsid w:val="0097515D"/>
    <w:rsid w:val="00975255"/>
    <w:rsid w:val="00975604"/>
    <w:rsid w:val="00975722"/>
    <w:rsid w:val="009759FB"/>
    <w:rsid w:val="00975DEE"/>
    <w:rsid w:val="009762BB"/>
    <w:rsid w:val="009765A9"/>
    <w:rsid w:val="009768DC"/>
    <w:rsid w:val="00976977"/>
    <w:rsid w:val="009770BD"/>
    <w:rsid w:val="009771F9"/>
    <w:rsid w:val="00977234"/>
    <w:rsid w:val="00977310"/>
    <w:rsid w:val="00977B40"/>
    <w:rsid w:val="00977C0A"/>
    <w:rsid w:val="00980230"/>
    <w:rsid w:val="009804AD"/>
    <w:rsid w:val="009804D0"/>
    <w:rsid w:val="00980B88"/>
    <w:rsid w:val="00981734"/>
    <w:rsid w:val="00982199"/>
    <w:rsid w:val="009823E8"/>
    <w:rsid w:val="009829ED"/>
    <w:rsid w:val="00982A0A"/>
    <w:rsid w:val="00982C10"/>
    <w:rsid w:val="00982F85"/>
    <w:rsid w:val="009833FB"/>
    <w:rsid w:val="0098398D"/>
    <w:rsid w:val="00983A8A"/>
    <w:rsid w:val="00983C45"/>
    <w:rsid w:val="009844DB"/>
    <w:rsid w:val="00984A6C"/>
    <w:rsid w:val="00984AD4"/>
    <w:rsid w:val="00984B35"/>
    <w:rsid w:val="00984BC9"/>
    <w:rsid w:val="00985531"/>
    <w:rsid w:val="00985EAD"/>
    <w:rsid w:val="009865DD"/>
    <w:rsid w:val="00986D87"/>
    <w:rsid w:val="0098702A"/>
    <w:rsid w:val="00987A1D"/>
    <w:rsid w:val="00987ED2"/>
    <w:rsid w:val="00990179"/>
    <w:rsid w:val="00990A03"/>
    <w:rsid w:val="00990EE1"/>
    <w:rsid w:val="0099159E"/>
    <w:rsid w:val="0099166D"/>
    <w:rsid w:val="00991A00"/>
    <w:rsid w:val="00991B22"/>
    <w:rsid w:val="00991DAB"/>
    <w:rsid w:val="00991FF0"/>
    <w:rsid w:val="00992270"/>
    <w:rsid w:val="0099261A"/>
    <w:rsid w:val="00992717"/>
    <w:rsid w:val="00992840"/>
    <w:rsid w:val="00992AFA"/>
    <w:rsid w:val="00992D69"/>
    <w:rsid w:val="00992EC5"/>
    <w:rsid w:val="00993118"/>
    <w:rsid w:val="009936D6"/>
    <w:rsid w:val="009936FB"/>
    <w:rsid w:val="00993CEA"/>
    <w:rsid w:val="009940D9"/>
    <w:rsid w:val="00994275"/>
    <w:rsid w:val="009943CE"/>
    <w:rsid w:val="0099495B"/>
    <w:rsid w:val="00994B01"/>
    <w:rsid w:val="0099518E"/>
    <w:rsid w:val="0099539E"/>
    <w:rsid w:val="00995450"/>
    <w:rsid w:val="0099646C"/>
    <w:rsid w:val="00996560"/>
    <w:rsid w:val="00996BBA"/>
    <w:rsid w:val="009972C7"/>
    <w:rsid w:val="00997350"/>
    <w:rsid w:val="00997641"/>
    <w:rsid w:val="00997D50"/>
    <w:rsid w:val="009A03B8"/>
    <w:rsid w:val="009A062C"/>
    <w:rsid w:val="009A0CA1"/>
    <w:rsid w:val="009A0E8D"/>
    <w:rsid w:val="009A0EF2"/>
    <w:rsid w:val="009A244E"/>
    <w:rsid w:val="009A25D9"/>
    <w:rsid w:val="009A30AB"/>
    <w:rsid w:val="009A31B5"/>
    <w:rsid w:val="009A35BB"/>
    <w:rsid w:val="009A3798"/>
    <w:rsid w:val="009A379E"/>
    <w:rsid w:val="009A3C48"/>
    <w:rsid w:val="009A3D92"/>
    <w:rsid w:val="009A3E45"/>
    <w:rsid w:val="009A4277"/>
    <w:rsid w:val="009A4691"/>
    <w:rsid w:val="009A5164"/>
    <w:rsid w:val="009A559E"/>
    <w:rsid w:val="009A5D33"/>
    <w:rsid w:val="009A7271"/>
    <w:rsid w:val="009A7914"/>
    <w:rsid w:val="009B00AE"/>
    <w:rsid w:val="009B01E1"/>
    <w:rsid w:val="009B0332"/>
    <w:rsid w:val="009B100F"/>
    <w:rsid w:val="009B1524"/>
    <w:rsid w:val="009B2702"/>
    <w:rsid w:val="009B2FAC"/>
    <w:rsid w:val="009B387A"/>
    <w:rsid w:val="009B3A18"/>
    <w:rsid w:val="009B3BFE"/>
    <w:rsid w:val="009B425F"/>
    <w:rsid w:val="009B4497"/>
    <w:rsid w:val="009B4553"/>
    <w:rsid w:val="009B466D"/>
    <w:rsid w:val="009B4783"/>
    <w:rsid w:val="009B4A55"/>
    <w:rsid w:val="009B4F00"/>
    <w:rsid w:val="009B507E"/>
    <w:rsid w:val="009B56D8"/>
    <w:rsid w:val="009B5B76"/>
    <w:rsid w:val="009B5EEB"/>
    <w:rsid w:val="009B60C6"/>
    <w:rsid w:val="009B62E9"/>
    <w:rsid w:val="009B646E"/>
    <w:rsid w:val="009B65F2"/>
    <w:rsid w:val="009B67E9"/>
    <w:rsid w:val="009B781A"/>
    <w:rsid w:val="009B794E"/>
    <w:rsid w:val="009C0CF7"/>
    <w:rsid w:val="009C17D6"/>
    <w:rsid w:val="009C1902"/>
    <w:rsid w:val="009C1FBD"/>
    <w:rsid w:val="009C2313"/>
    <w:rsid w:val="009C2413"/>
    <w:rsid w:val="009C2418"/>
    <w:rsid w:val="009C281E"/>
    <w:rsid w:val="009C2A23"/>
    <w:rsid w:val="009C2CE0"/>
    <w:rsid w:val="009C3592"/>
    <w:rsid w:val="009C3BF5"/>
    <w:rsid w:val="009C3FE3"/>
    <w:rsid w:val="009C4123"/>
    <w:rsid w:val="009C4283"/>
    <w:rsid w:val="009C4614"/>
    <w:rsid w:val="009C4A31"/>
    <w:rsid w:val="009C5197"/>
    <w:rsid w:val="009C51BF"/>
    <w:rsid w:val="009C51F8"/>
    <w:rsid w:val="009C53F2"/>
    <w:rsid w:val="009C5487"/>
    <w:rsid w:val="009C58EB"/>
    <w:rsid w:val="009C59DE"/>
    <w:rsid w:val="009C5AEA"/>
    <w:rsid w:val="009C606A"/>
    <w:rsid w:val="009C6301"/>
    <w:rsid w:val="009C68BC"/>
    <w:rsid w:val="009C6D96"/>
    <w:rsid w:val="009C6DE7"/>
    <w:rsid w:val="009C710F"/>
    <w:rsid w:val="009C7264"/>
    <w:rsid w:val="009C751E"/>
    <w:rsid w:val="009C75E0"/>
    <w:rsid w:val="009C7913"/>
    <w:rsid w:val="009C793B"/>
    <w:rsid w:val="009C79C7"/>
    <w:rsid w:val="009C7BA6"/>
    <w:rsid w:val="009D04C9"/>
    <w:rsid w:val="009D056C"/>
    <w:rsid w:val="009D0CC4"/>
    <w:rsid w:val="009D0CE5"/>
    <w:rsid w:val="009D108C"/>
    <w:rsid w:val="009D1585"/>
    <w:rsid w:val="009D1B75"/>
    <w:rsid w:val="009D1D87"/>
    <w:rsid w:val="009D212C"/>
    <w:rsid w:val="009D2E08"/>
    <w:rsid w:val="009D3498"/>
    <w:rsid w:val="009D36B7"/>
    <w:rsid w:val="009D38FD"/>
    <w:rsid w:val="009D39D8"/>
    <w:rsid w:val="009D4753"/>
    <w:rsid w:val="009D4758"/>
    <w:rsid w:val="009D4A1C"/>
    <w:rsid w:val="009D5A04"/>
    <w:rsid w:val="009D5F66"/>
    <w:rsid w:val="009D623D"/>
    <w:rsid w:val="009D64A3"/>
    <w:rsid w:val="009D65B2"/>
    <w:rsid w:val="009D69A8"/>
    <w:rsid w:val="009D73DA"/>
    <w:rsid w:val="009D748E"/>
    <w:rsid w:val="009D791E"/>
    <w:rsid w:val="009E0582"/>
    <w:rsid w:val="009E1173"/>
    <w:rsid w:val="009E233D"/>
    <w:rsid w:val="009E2BEB"/>
    <w:rsid w:val="009E35CC"/>
    <w:rsid w:val="009E3C73"/>
    <w:rsid w:val="009E3F41"/>
    <w:rsid w:val="009E4380"/>
    <w:rsid w:val="009E55D7"/>
    <w:rsid w:val="009E57B9"/>
    <w:rsid w:val="009E58A1"/>
    <w:rsid w:val="009E5B5A"/>
    <w:rsid w:val="009E5E8D"/>
    <w:rsid w:val="009E624D"/>
    <w:rsid w:val="009E62BD"/>
    <w:rsid w:val="009E6399"/>
    <w:rsid w:val="009E669C"/>
    <w:rsid w:val="009E685C"/>
    <w:rsid w:val="009E6F36"/>
    <w:rsid w:val="009E735C"/>
    <w:rsid w:val="009E76BA"/>
    <w:rsid w:val="009E7A3B"/>
    <w:rsid w:val="009E7A6C"/>
    <w:rsid w:val="009E7B13"/>
    <w:rsid w:val="009F0220"/>
    <w:rsid w:val="009F04D0"/>
    <w:rsid w:val="009F0AE6"/>
    <w:rsid w:val="009F0B95"/>
    <w:rsid w:val="009F0D4B"/>
    <w:rsid w:val="009F1015"/>
    <w:rsid w:val="009F1651"/>
    <w:rsid w:val="009F169C"/>
    <w:rsid w:val="009F1798"/>
    <w:rsid w:val="009F17FE"/>
    <w:rsid w:val="009F18E0"/>
    <w:rsid w:val="009F1AF5"/>
    <w:rsid w:val="009F1B85"/>
    <w:rsid w:val="009F2BB5"/>
    <w:rsid w:val="009F2FE8"/>
    <w:rsid w:val="009F3586"/>
    <w:rsid w:val="009F39B4"/>
    <w:rsid w:val="009F4135"/>
    <w:rsid w:val="009F4C6B"/>
    <w:rsid w:val="009F5516"/>
    <w:rsid w:val="009F5526"/>
    <w:rsid w:val="009F57E2"/>
    <w:rsid w:val="009F594F"/>
    <w:rsid w:val="009F59E2"/>
    <w:rsid w:val="009F5C01"/>
    <w:rsid w:val="009F5EF3"/>
    <w:rsid w:val="009F6058"/>
    <w:rsid w:val="009F632A"/>
    <w:rsid w:val="009F6531"/>
    <w:rsid w:val="009F6596"/>
    <w:rsid w:val="009F69A3"/>
    <w:rsid w:val="009F6DA5"/>
    <w:rsid w:val="009F7172"/>
    <w:rsid w:val="00A0080A"/>
    <w:rsid w:val="00A008FA"/>
    <w:rsid w:val="00A00D85"/>
    <w:rsid w:val="00A00E40"/>
    <w:rsid w:val="00A00E52"/>
    <w:rsid w:val="00A00F56"/>
    <w:rsid w:val="00A010EA"/>
    <w:rsid w:val="00A0149E"/>
    <w:rsid w:val="00A01675"/>
    <w:rsid w:val="00A018B5"/>
    <w:rsid w:val="00A01CD9"/>
    <w:rsid w:val="00A02385"/>
    <w:rsid w:val="00A028D1"/>
    <w:rsid w:val="00A029A8"/>
    <w:rsid w:val="00A0317A"/>
    <w:rsid w:val="00A0344A"/>
    <w:rsid w:val="00A03837"/>
    <w:rsid w:val="00A0416E"/>
    <w:rsid w:val="00A04269"/>
    <w:rsid w:val="00A0443A"/>
    <w:rsid w:val="00A04686"/>
    <w:rsid w:val="00A046B2"/>
    <w:rsid w:val="00A04764"/>
    <w:rsid w:val="00A047BD"/>
    <w:rsid w:val="00A04971"/>
    <w:rsid w:val="00A052F7"/>
    <w:rsid w:val="00A05686"/>
    <w:rsid w:val="00A05E69"/>
    <w:rsid w:val="00A05F28"/>
    <w:rsid w:val="00A0608B"/>
    <w:rsid w:val="00A06120"/>
    <w:rsid w:val="00A10579"/>
    <w:rsid w:val="00A10B90"/>
    <w:rsid w:val="00A11AD5"/>
    <w:rsid w:val="00A11EFD"/>
    <w:rsid w:val="00A12387"/>
    <w:rsid w:val="00A1288E"/>
    <w:rsid w:val="00A12A23"/>
    <w:rsid w:val="00A12CC1"/>
    <w:rsid w:val="00A13185"/>
    <w:rsid w:val="00A139CE"/>
    <w:rsid w:val="00A14BE9"/>
    <w:rsid w:val="00A151CE"/>
    <w:rsid w:val="00A15359"/>
    <w:rsid w:val="00A15B68"/>
    <w:rsid w:val="00A15B71"/>
    <w:rsid w:val="00A1608C"/>
    <w:rsid w:val="00A16224"/>
    <w:rsid w:val="00A1656D"/>
    <w:rsid w:val="00A16718"/>
    <w:rsid w:val="00A178EC"/>
    <w:rsid w:val="00A17F50"/>
    <w:rsid w:val="00A20720"/>
    <w:rsid w:val="00A20A2B"/>
    <w:rsid w:val="00A20B35"/>
    <w:rsid w:val="00A222F6"/>
    <w:rsid w:val="00A229F3"/>
    <w:rsid w:val="00A22A51"/>
    <w:rsid w:val="00A22EFA"/>
    <w:rsid w:val="00A231EA"/>
    <w:rsid w:val="00A2386E"/>
    <w:rsid w:val="00A240AF"/>
    <w:rsid w:val="00A241BE"/>
    <w:rsid w:val="00A24746"/>
    <w:rsid w:val="00A248C4"/>
    <w:rsid w:val="00A25033"/>
    <w:rsid w:val="00A2517B"/>
    <w:rsid w:val="00A25912"/>
    <w:rsid w:val="00A25B6B"/>
    <w:rsid w:val="00A26152"/>
    <w:rsid w:val="00A262D3"/>
    <w:rsid w:val="00A2639C"/>
    <w:rsid w:val="00A26530"/>
    <w:rsid w:val="00A26CD1"/>
    <w:rsid w:val="00A26CF3"/>
    <w:rsid w:val="00A26E31"/>
    <w:rsid w:val="00A270A1"/>
    <w:rsid w:val="00A2737C"/>
    <w:rsid w:val="00A274D3"/>
    <w:rsid w:val="00A30024"/>
    <w:rsid w:val="00A30221"/>
    <w:rsid w:val="00A30522"/>
    <w:rsid w:val="00A305DD"/>
    <w:rsid w:val="00A30745"/>
    <w:rsid w:val="00A30C34"/>
    <w:rsid w:val="00A3111E"/>
    <w:rsid w:val="00A317CB"/>
    <w:rsid w:val="00A31F2C"/>
    <w:rsid w:val="00A32A3B"/>
    <w:rsid w:val="00A32CDA"/>
    <w:rsid w:val="00A33320"/>
    <w:rsid w:val="00A3385E"/>
    <w:rsid w:val="00A33A5D"/>
    <w:rsid w:val="00A33C91"/>
    <w:rsid w:val="00A33CF8"/>
    <w:rsid w:val="00A33FAC"/>
    <w:rsid w:val="00A343C9"/>
    <w:rsid w:val="00A35024"/>
    <w:rsid w:val="00A35338"/>
    <w:rsid w:val="00A36181"/>
    <w:rsid w:val="00A365E0"/>
    <w:rsid w:val="00A36689"/>
    <w:rsid w:val="00A36763"/>
    <w:rsid w:val="00A37EB2"/>
    <w:rsid w:val="00A4021C"/>
    <w:rsid w:val="00A40725"/>
    <w:rsid w:val="00A4109D"/>
    <w:rsid w:val="00A4117C"/>
    <w:rsid w:val="00A42781"/>
    <w:rsid w:val="00A42974"/>
    <w:rsid w:val="00A42AC2"/>
    <w:rsid w:val="00A435B6"/>
    <w:rsid w:val="00A4365A"/>
    <w:rsid w:val="00A443D4"/>
    <w:rsid w:val="00A44757"/>
    <w:rsid w:val="00A44F3F"/>
    <w:rsid w:val="00A4504F"/>
    <w:rsid w:val="00A45A23"/>
    <w:rsid w:val="00A45E0A"/>
    <w:rsid w:val="00A45E56"/>
    <w:rsid w:val="00A4611D"/>
    <w:rsid w:val="00A46934"/>
    <w:rsid w:val="00A474D1"/>
    <w:rsid w:val="00A478AF"/>
    <w:rsid w:val="00A5008F"/>
    <w:rsid w:val="00A500CD"/>
    <w:rsid w:val="00A506ED"/>
    <w:rsid w:val="00A50710"/>
    <w:rsid w:val="00A507F8"/>
    <w:rsid w:val="00A50AB2"/>
    <w:rsid w:val="00A51990"/>
    <w:rsid w:val="00A519D7"/>
    <w:rsid w:val="00A51F65"/>
    <w:rsid w:val="00A52329"/>
    <w:rsid w:val="00A52646"/>
    <w:rsid w:val="00A529FF"/>
    <w:rsid w:val="00A52C8F"/>
    <w:rsid w:val="00A5348B"/>
    <w:rsid w:val="00A53608"/>
    <w:rsid w:val="00A54B0F"/>
    <w:rsid w:val="00A54C16"/>
    <w:rsid w:val="00A55457"/>
    <w:rsid w:val="00A558E5"/>
    <w:rsid w:val="00A55AAF"/>
    <w:rsid w:val="00A55DBB"/>
    <w:rsid w:val="00A55F36"/>
    <w:rsid w:val="00A563A6"/>
    <w:rsid w:val="00A56CA4"/>
    <w:rsid w:val="00A5766B"/>
    <w:rsid w:val="00A576B4"/>
    <w:rsid w:val="00A579BB"/>
    <w:rsid w:val="00A57D41"/>
    <w:rsid w:val="00A57E4E"/>
    <w:rsid w:val="00A60058"/>
    <w:rsid w:val="00A60476"/>
    <w:rsid w:val="00A60902"/>
    <w:rsid w:val="00A60A2A"/>
    <w:rsid w:val="00A60B34"/>
    <w:rsid w:val="00A6100B"/>
    <w:rsid w:val="00A61186"/>
    <w:rsid w:val="00A6162B"/>
    <w:rsid w:val="00A620CA"/>
    <w:rsid w:val="00A6242D"/>
    <w:rsid w:val="00A62649"/>
    <w:rsid w:val="00A6284F"/>
    <w:rsid w:val="00A62858"/>
    <w:rsid w:val="00A62C69"/>
    <w:rsid w:val="00A62F3D"/>
    <w:rsid w:val="00A633B6"/>
    <w:rsid w:val="00A634D2"/>
    <w:rsid w:val="00A637B0"/>
    <w:rsid w:val="00A6392B"/>
    <w:rsid w:val="00A63ACA"/>
    <w:rsid w:val="00A63D69"/>
    <w:rsid w:val="00A640A0"/>
    <w:rsid w:val="00A64150"/>
    <w:rsid w:val="00A64356"/>
    <w:rsid w:val="00A6454F"/>
    <w:rsid w:val="00A64558"/>
    <w:rsid w:val="00A6458A"/>
    <w:rsid w:val="00A64B2E"/>
    <w:rsid w:val="00A6540A"/>
    <w:rsid w:val="00A654E4"/>
    <w:rsid w:val="00A66121"/>
    <w:rsid w:val="00A663DF"/>
    <w:rsid w:val="00A66402"/>
    <w:rsid w:val="00A66452"/>
    <w:rsid w:val="00A6660E"/>
    <w:rsid w:val="00A67B46"/>
    <w:rsid w:val="00A70397"/>
    <w:rsid w:val="00A703E2"/>
    <w:rsid w:val="00A703FF"/>
    <w:rsid w:val="00A70591"/>
    <w:rsid w:val="00A70B35"/>
    <w:rsid w:val="00A71F6F"/>
    <w:rsid w:val="00A72180"/>
    <w:rsid w:val="00A72182"/>
    <w:rsid w:val="00A724D5"/>
    <w:rsid w:val="00A72916"/>
    <w:rsid w:val="00A72F7A"/>
    <w:rsid w:val="00A734AD"/>
    <w:rsid w:val="00A73D4F"/>
    <w:rsid w:val="00A73EEE"/>
    <w:rsid w:val="00A74089"/>
    <w:rsid w:val="00A74154"/>
    <w:rsid w:val="00A74EC9"/>
    <w:rsid w:val="00A75A22"/>
    <w:rsid w:val="00A77563"/>
    <w:rsid w:val="00A77A52"/>
    <w:rsid w:val="00A77EC8"/>
    <w:rsid w:val="00A80165"/>
    <w:rsid w:val="00A801AF"/>
    <w:rsid w:val="00A80E73"/>
    <w:rsid w:val="00A81349"/>
    <w:rsid w:val="00A8165C"/>
    <w:rsid w:val="00A81696"/>
    <w:rsid w:val="00A81D6C"/>
    <w:rsid w:val="00A82300"/>
    <w:rsid w:val="00A82DFB"/>
    <w:rsid w:val="00A82FFB"/>
    <w:rsid w:val="00A8333C"/>
    <w:rsid w:val="00A84839"/>
    <w:rsid w:val="00A84A0C"/>
    <w:rsid w:val="00A84A99"/>
    <w:rsid w:val="00A84E52"/>
    <w:rsid w:val="00A85444"/>
    <w:rsid w:val="00A855E1"/>
    <w:rsid w:val="00A85682"/>
    <w:rsid w:val="00A85BD9"/>
    <w:rsid w:val="00A85D01"/>
    <w:rsid w:val="00A860E4"/>
    <w:rsid w:val="00A865EF"/>
    <w:rsid w:val="00A86748"/>
    <w:rsid w:val="00A86862"/>
    <w:rsid w:val="00A86A27"/>
    <w:rsid w:val="00A86FD3"/>
    <w:rsid w:val="00A87302"/>
    <w:rsid w:val="00A87EDD"/>
    <w:rsid w:val="00A9009B"/>
    <w:rsid w:val="00A922C3"/>
    <w:rsid w:val="00A9375B"/>
    <w:rsid w:val="00A94396"/>
    <w:rsid w:val="00A94EFE"/>
    <w:rsid w:val="00A957CE"/>
    <w:rsid w:val="00A95C19"/>
    <w:rsid w:val="00A95F31"/>
    <w:rsid w:val="00A963E0"/>
    <w:rsid w:val="00A96449"/>
    <w:rsid w:val="00A96766"/>
    <w:rsid w:val="00A96945"/>
    <w:rsid w:val="00A96D3B"/>
    <w:rsid w:val="00A96DD5"/>
    <w:rsid w:val="00A97071"/>
    <w:rsid w:val="00A979DC"/>
    <w:rsid w:val="00A97D2C"/>
    <w:rsid w:val="00AA03F4"/>
    <w:rsid w:val="00AA084D"/>
    <w:rsid w:val="00AA0964"/>
    <w:rsid w:val="00AA0F19"/>
    <w:rsid w:val="00AA18C6"/>
    <w:rsid w:val="00AA18CC"/>
    <w:rsid w:val="00AA1B94"/>
    <w:rsid w:val="00AA1BE4"/>
    <w:rsid w:val="00AA1C0A"/>
    <w:rsid w:val="00AA2CD6"/>
    <w:rsid w:val="00AA41CA"/>
    <w:rsid w:val="00AA42FF"/>
    <w:rsid w:val="00AA4538"/>
    <w:rsid w:val="00AA474E"/>
    <w:rsid w:val="00AA4B19"/>
    <w:rsid w:val="00AA4D57"/>
    <w:rsid w:val="00AA5069"/>
    <w:rsid w:val="00AA590E"/>
    <w:rsid w:val="00AA6286"/>
    <w:rsid w:val="00AA631A"/>
    <w:rsid w:val="00AA659A"/>
    <w:rsid w:val="00AA6697"/>
    <w:rsid w:val="00AA6814"/>
    <w:rsid w:val="00AA6B6E"/>
    <w:rsid w:val="00AA6CFC"/>
    <w:rsid w:val="00AA6E1C"/>
    <w:rsid w:val="00AA7C23"/>
    <w:rsid w:val="00AB13E9"/>
    <w:rsid w:val="00AB165B"/>
    <w:rsid w:val="00AB168E"/>
    <w:rsid w:val="00AB1AD6"/>
    <w:rsid w:val="00AB1D46"/>
    <w:rsid w:val="00AB1D4D"/>
    <w:rsid w:val="00AB1EA6"/>
    <w:rsid w:val="00AB203E"/>
    <w:rsid w:val="00AB213D"/>
    <w:rsid w:val="00AB23F9"/>
    <w:rsid w:val="00AB246A"/>
    <w:rsid w:val="00AB2A84"/>
    <w:rsid w:val="00AB2CD5"/>
    <w:rsid w:val="00AB2CEF"/>
    <w:rsid w:val="00AB38DD"/>
    <w:rsid w:val="00AB38F8"/>
    <w:rsid w:val="00AB397A"/>
    <w:rsid w:val="00AB3F16"/>
    <w:rsid w:val="00AB3FAC"/>
    <w:rsid w:val="00AB494B"/>
    <w:rsid w:val="00AB5516"/>
    <w:rsid w:val="00AB57F9"/>
    <w:rsid w:val="00AB58CE"/>
    <w:rsid w:val="00AB5B15"/>
    <w:rsid w:val="00AB6498"/>
    <w:rsid w:val="00AB69FF"/>
    <w:rsid w:val="00AB6AC8"/>
    <w:rsid w:val="00AB713F"/>
    <w:rsid w:val="00AB720E"/>
    <w:rsid w:val="00AB7E61"/>
    <w:rsid w:val="00AC0165"/>
    <w:rsid w:val="00AC0710"/>
    <w:rsid w:val="00AC108A"/>
    <w:rsid w:val="00AC115A"/>
    <w:rsid w:val="00AC1911"/>
    <w:rsid w:val="00AC1952"/>
    <w:rsid w:val="00AC1B07"/>
    <w:rsid w:val="00AC1C20"/>
    <w:rsid w:val="00AC2443"/>
    <w:rsid w:val="00AC2697"/>
    <w:rsid w:val="00AC303A"/>
    <w:rsid w:val="00AC31ED"/>
    <w:rsid w:val="00AC3489"/>
    <w:rsid w:val="00AC3EC1"/>
    <w:rsid w:val="00AC403F"/>
    <w:rsid w:val="00AC4204"/>
    <w:rsid w:val="00AC45C2"/>
    <w:rsid w:val="00AC4B56"/>
    <w:rsid w:val="00AC4E0B"/>
    <w:rsid w:val="00AC4F43"/>
    <w:rsid w:val="00AC5257"/>
    <w:rsid w:val="00AC5374"/>
    <w:rsid w:val="00AC5738"/>
    <w:rsid w:val="00AC5C3C"/>
    <w:rsid w:val="00AC6193"/>
    <w:rsid w:val="00AC6427"/>
    <w:rsid w:val="00AC674D"/>
    <w:rsid w:val="00AC6B7F"/>
    <w:rsid w:val="00AC704B"/>
    <w:rsid w:val="00AC70A8"/>
    <w:rsid w:val="00AC7415"/>
    <w:rsid w:val="00AC75AA"/>
    <w:rsid w:val="00AC763F"/>
    <w:rsid w:val="00AC766F"/>
    <w:rsid w:val="00AD000B"/>
    <w:rsid w:val="00AD01EE"/>
    <w:rsid w:val="00AD027B"/>
    <w:rsid w:val="00AD02F5"/>
    <w:rsid w:val="00AD0684"/>
    <w:rsid w:val="00AD09B6"/>
    <w:rsid w:val="00AD0A49"/>
    <w:rsid w:val="00AD0ABB"/>
    <w:rsid w:val="00AD0BF5"/>
    <w:rsid w:val="00AD11FB"/>
    <w:rsid w:val="00AD1273"/>
    <w:rsid w:val="00AD12C4"/>
    <w:rsid w:val="00AD1335"/>
    <w:rsid w:val="00AD17CF"/>
    <w:rsid w:val="00AD1C91"/>
    <w:rsid w:val="00AD1DBD"/>
    <w:rsid w:val="00AD1FDC"/>
    <w:rsid w:val="00AD28BA"/>
    <w:rsid w:val="00AD28F5"/>
    <w:rsid w:val="00AD297B"/>
    <w:rsid w:val="00AD38F5"/>
    <w:rsid w:val="00AD3C17"/>
    <w:rsid w:val="00AD4344"/>
    <w:rsid w:val="00AD4A4D"/>
    <w:rsid w:val="00AD4CF7"/>
    <w:rsid w:val="00AD4E4D"/>
    <w:rsid w:val="00AD4F01"/>
    <w:rsid w:val="00AD510F"/>
    <w:rsid w:val="00AD52B2"/>
    <w:rsid w:val="00AD59EB"/>
    <w:rsid w:val="00AD5BA0"/>
    <w:rsid w:val="00AD60B2"/>
    <w:rsid w:val="00AD6310"/>
    <w:rsid w:val="00AD6784"/>
    <w:rsid w:val="00AD69CD"/>
    <w:rsid w:val="00AD6FE4"/>
    <w:rsid w:val="00AD708E"/>
    <w:rsid w:val="00AD7794"/>
    <w:rsid w:val="00AD7D2A"/>
    <w:rsid w:val="00AE017F"/>
    <w:rsid w:val="00AE0391"/>
    <w:rsid w:val="00AE054F"/>
    <w:rsid w:val="00AE05D9"/>
    <w:rsid w:val="00AE0991"/>
    <w:rsid w:val="00AE0BE2"/>
    <w:rsid w:val="00AE0CD3"/>
    <w:rsid w:val="00AE1C5C"/>
    <w:rsid w:val="00AE1D61"/>
    <w:rsid w:val="00AE1EBD"/>
    <w:rsid w:val="00AE1EDA"/>
    <w:rsid w:val="00AE210D"/>
    <w:rsid w:val="00AE2277"/>
    <w:rsid w:val="00AE2CF3"/>
    <w:rsid w:val="00AE4069"/>
    <w:rsid w:val="00AE416B"/>
    <w:rsid w:val="00AE43F4"/>
    <w:rsid w:val="00AE44F5"/>
    <w:rsid w:val="00AE48DD"/>
    <w:rsid w:val="00AE4989"/>
    <w:rsid w:val="00AE4D29"/>
    <w:rsid w:val="00AE5230"/>
    <w:rsid w:val="00AE65CD"/>
    <w:rsid w:val="00AE6DE1"/>
    <w:rsid w:val="00AE715F"/>
    <w:rsid w:val="00AE74D7"/>
    <w:rsid w:val="00AE7517"/>
    <w:rsid w:val="00AF0260"/>
    <w:rsid w:val="00AF0483"/>
    <w:rsid w:val="00AF0951"/>
    <w:rsid w:val="00AF0BDB"/>
    <w:rsid w:val="00AF14D5"/>
    <w:rsid w:val="00AF173C"/>
    <w:rsid w:val="00AF1854"/>
    <w:rsid w:val="00AF1B0E"/>
    <w:rsid w:val="00AF1BB8"/>
    <w:rsid w:val="00AF1C67"/>
    <w:rsid w:val="00AF1ED4"/>
    <w:rsid w:val="00AF21C9"/>
    <w:rsid w:val="00AF21CC"/>
    <w:rsid w:val="00AF232D"/>
    <w:rsid w:val="00AF253E"/>
    <w:rsid w:val="00AF26EE"/>
    <w:rsid w:val="00AF3314"/>
    <w:rsid w:val="00AF34B6"/>
    <w:rsid w:val="00AF369F"/>
    <w:rsid w:val="00AF37EB"/>
    <w:rsid w:val="00AF3BEF"/>
    <w:rsid w:val="00AF3D97"/>
    <w:rsid w:val="00AF470F"/>
    <w:rsid w:val="00AF4867"/>
    <w:rsid w:val="00AF4BB1"/>
    <w:rsid w:val="00AF4E62"/>
    <w:rsid w:val="00AF5945"/>
    <w:rsid w:val="00AF59C5"/>
    <w:rsid w:val="00AF5D7B"/>
    <w:rsid w:val="00AF650A"/>
    <w:rsid w:val="00AF6624"/>
    <w:rsid w:val="00AF7168"/>
    <w:rsid w:val="00AF7C86"/>
    <w:rsid w:val="00AF7F88"/>
    <w:rsid w:val="00B0016C"/>
    <w:rsid w:val="00B0040C"/>
    <w:rsid w:val="00B00431"/>
    <w:rsid w:val="00B00CA1"/>
    <w:rsid w:val="00B01349"/>
    <w:rsid w:val="00B01D47"/>
    <w:rsid w:val="00B02A91"/>
    <w:rsid w:val="00B02E2E"/>
    <w:rsid w:val="00B031A6"/>
    <w:rsid w:val="00B033D7"/>
    <w:rsid w:val="00B03B87"/>
    <w:rsid w:val="00B03C1E"/>
    <w:rsid w:val="00B03E61"/>
    <w:rsid w:val="00B041C1"/>
    <w:rsid w:val="00B04502"/>
    <w:rsid w:val="00B04900"/>
    <w:rsid w:val="00B04AEB"/>
    <w:rsid w:val="00B05208"/>
    <w:rsid w:val="00B05C27"/>
    <w:rsid w:val="00B05C6E"/>
    <w:rsid w:val="00B05DEB"/>
    <w:rsid w:val="00B06887"/>
    <w:rsid w:val="00B070E3"/>
    <w:rsid w:val="00B07315"/>
    <w:rsid w:val="00B0756B"/>
    <w:rsid w:val="00B07A88"/>
    <w:rsid w:val="00B102EE"/>
    <w:rsid w:val="00B10645"/>
    <w:rsid w:val="00B1086F"/>
    <w:rsid w:val="00B10C3A"/>
    <w:rsid w:val="00B1122F"/>
    <w:rsid w:val="00B112C6"/>
    <w:rsid w:val="00B113D5"/>
    <w:rsid w:val="00B11798"/>
    <w:rsid w:val="00B12020"/>
    <w:rsid w:val="00B121A0"/>
    <w:rsid w:val="00B12549"/>
    <w:rsid w:val="00B12663"/>
    <w:rsid w:val="00B12CED"/>
    <w:rsid w:val="00B13432"/>
    <w:rsid w:val="00B13772"/>
    <w:rsid w:val="00B13D1A"/>
    <w:rsid w:val="00B13D6A"/>
    <w:rsid w:val="00B13E7F"/>
    <w:rsid w:val="00B13F69"/>
    <w:rsid w:val="00B14369"/>
    <w:rsid w:val="00B14878"/>
    <w:rsid w:val="00B149E6"/>
    <w:rsid w:val="00B14AEA"/>
    <w:rsid w:val="00B14BA4"/>
    <w:rsid w:val="00B14EA6"/>
    <w:rsid w:val="00B15172"/>
    <w:rsid w:val="00B1527E"/>
    <w:rsid w:val="00B16F76"/>
    <w:rsid w:val="00B16FDA"/>
    <w:rsid w:val="00B177C9"/>
    <w:rsid w:val="00B17EED"/>
    <w:rsid w:val="00B201BE"/>
    <w:rsid w:val="00B20F8C"/>
    <w:rsid w:val="00B2193E"/>
    <w:rsid w:val="00B21D47"/>
    <w:rsid w:val="00B223D7"/>
    <w:rsid w:val="00B223DE"/>
    <w:rsid w:val="00B226A8"/>
    <w:rsid w:val="00B233DF"/>
    <w:rsid w:val="00B23466"/>
    <w:rsid w:val="00B238A5"/>
    <w:rsid w:val="00B23CF0"/>
    <w:rsid w:val="00B241A3"/>
    <w:rsid w:val="00B243B8"/>
    <w:rsid w:val="00B245AA"/>
    <w:rsid w:val="00B250BD"/>
    <w:rsid w:val="00B274C2"/>
    <w:rsid w:val="00B27509"/>
    <w:rsid w:val="00B27908"/>
    <w:rsid w:val="00B30321"/>
    <w:rsid w:val="00B30A4C"/>
    <w:rsid w:val="00B30ABB"/>
    <w:rsid w:val="00B30EBA"/>
    <w:rsid w:val="00B313D0"/>
    <w:rsid w:val="00B31B80"/>
    <w:rsid w:val="00B32019"/>
    <w:rsid w:val="00B3208E"/>
    <w:rsid w:val="00B3211A"/>
    <w:rsid w:val="00B32275"/>
    <w:rsid w:val="00B33241"/>
    <w:rsid w:val="00B33A27"/>
    <w:rsid w:val="00B33DE7"/>
    <w:rsid w:val="00B33EA1"/>
    <w:rsid w:val="00B340AC"/>
    <w:rsid w:val="00B34417"/>
    <w:rsid w:val="00B34699"/>
    <w:rsid w:val="00B34878"/>
    <w:rsid w:val="00B34B2E"/>
    <w:rsid w:val="00B34EBC"/>
    <w:rsid w:val="00B35261"/>
    <w:rsid w:val="00B3536E"/>
    <w:rsid w:val="00B35F17"/>
    <w:rsid w:val="00B363E2"/>
    <w:rsid w:val="00B365EF"/>
    <w:rsid w:val="00B36907"/>
    <w:rsid w:val="00B3734D"/>
    <w:rsid w:val="00B40794"/>
    <w:rsid w:val="00B40797"/>
    <w:rsid w:val="00B40BE0"/>
    <w:rsid w:val="00B40C3C"/>
    <w:rsid w:val="00B41837"/>
    <w:rsid w:val="00B419B2"/>
    <w:rsid w:val="00B41EA3"/>
    <w:rsid w:val="00B4225D"/>
    <w:rsid w:val="00B4238C"/>
    <w:rsid w:val="00B423A6"/>
    <w:rsid w:val="00B427B2"/>
    <w:rsid w:val="00B42D05"/>
    <w:rsid w:val="00B42D79"/>
    <w:rsid w:val="00B42DED"/>
    <w:rsid w:val="00B43228"/>
    <w:rsid w:val="00B432C6"/>
    <w:rsid w:val="00B43A45"/>
    <w:rsid w:val="00B449F6"/>
    <w:rsid w:val="00B44BC4"/>
    <w:rsid w:val="00B4518A"/>
    <w:rsid w:val="00B451E7"/>
    <w:rsid w:val="00B45291"/>
    <w:rsid w:val="00B45394"/>
    <w:rsid w:val="00B45663"/>
    <w:rsid w:val="00B45806"/>
    <w:rsid w:val="00B45EEA"/>
    <w:rsid w:val="00B45F48"/>
    <w:rsid w:val="00B4603D"/>
    <w:rsid w:val="00B46BF9"/>
    <w:rsid w:val="00B46BFC"/>
    <w:rsid w:val="00B46D3B"/>
    <w:rsid w:val="00B46D90"/>
    <w:rsid w:val="00B46EEC"/>
    <w:rsid w:val="00B47151"/>
    <w:rsid w:val="00B47201"/>
    <w:rsid w:val="00B4754C"/>
    <w:rsid w:val="00B504E0"/>
    <w:rsid w:val="00B5097C"/>
    <w:rsid w:val="00B50A0D"/>
    <w:rsid w:val="00B51030"/>
    <w:rsid w:val="00B517AD"/>
    <w:rsid w:val="00B519EA"/>
    <w:rsid w:val="00B52062"/>
    <w:rsid w:val="00B52765"/>
    <w:rsid w:val="00B53131"/>
    <w:rsid w:val="00B53215"/>
    <w:rsid w:val="00B5388C"/>
    <w:rsid w:val="00B538CB"/>
    <w:rsid w:val="00B53D08"/>
    <w:rsid w:val="00B54788"/>
    <w:rsid w:val="00B547A6"/>
    <w:rsid w:val="00B54AB5"/>
    <w:rsid w:val="00B552DF"/>
    <w:rsid w:val="00B556F7"/>
    <w:rsid w:val="00B55DB2"/>
    <w:rsid w:val="00B57682"/>
    <w:rsid w:val="00B57C48"/>
    <w:rsid w:val="00B57FE8"/>
    <w:rsid w:val="00B60245"/>
    <w:rsid w:val="00B604F5"/>
    <w:rsid w:val="00B60715"/>
    <w:rsid w:val="00B61076"/>
    <w:rsid w:val="00B616C0"/>
    <w:rsid w:val="00B61A1B"/>
    <w:rsid w:val="00B62150"/>
    <w:rsid w:val="00B624D2"/>
    <w:rsid w:val="00B629B5"/>
    <w:rsid w:val="00B63893"/>
    <w:rsid w:val="00B63982"/>
    <w:rsid w:val="00B64251"/>
    <w:rsid w:val="00B64459"/>
    <w:rsid w:val="00B64563"/>
    <w:rsid w:val="00B64604"/>
    <w:rsid w:val="00B64DA4"/>
    <w:rsid w:val="00B64E20"/>
    <w:rsid w:val="00B64F9D"/>
    <w:rsid w:val="00B6506A"/>
    <w:rsid w:val="00B65201"/>
    <w:rsid w:val="00B6524F"/>
    <w:rsid w:val="00B6551E"/>
    <w:rsid w:val="00B65CC1"/>
    <w:rsid w:val="00B6652C"/>
    <w:rsid w:val="00B66938"/>
    <w:rsid w:val="00B66E98"/>
    <w:rsid w:val="00B66EE5"/>
    <w:rsid w:val="00B66F66"/>
    <w:rsid w:val="00B67227"/>
    <w:rsid w:val="00B67362"/>
    <w:rsid w:val="00B67435"/>
    <w:rsid w:val="00B67AF4"/>
    <w:rsid w:val="00B67BFC"/>
    <w:rsid w:val="00B70017"/>
    <w:rsid w:val="00B7002F"/>
    <w:rsid w:val="00B70800"/>
    <w:rsid w:val="00B71F95"/>
    <w:rsid w:val="00B71FA4"/>
    <w:rsid w:val="00B71FF5"/>
    <w:rsid w:val="00B72202"/>
    <w:rsid w:val="00B723AE"/>
    <w:rsid w:val="00B72CD8"/>
    <w:rsid w:val="00B72DC8"/>
    <w:rsid w:val="00B73C76"/>
    <w:rsid w:val="00B73DC5"/>
    <w:rsid w:val="00B74159"/>
    <w:rsid w:val="00B74281"/>
    <w:rsid w:val="00B743B3"/>
    <w:rsid w:val="00B7451A"/>
    <w:rsid w:val="00B74772"/>
    <w:rsid w:val="00B7574A"/>
    <w:rsid w:val="00B75BEF"/>
    <w:rsid w:val="00B76322"/>
    <w:rsid w:val="00B768AF"/>
    <w:rsid w:val="00B768D0"/>
    <w:rsid w:val="00B76B68"/>
    <w:rsid w:val="00B76F52"/>
    <w:rsid w:val="00B76F89"/>
    <w:rsid w:val="00B771BB"/>
    <w:rsid w:val="00B77A4E"/>
    <w:rsid w:val="00B77E7E"/>
    <w:rsid w:val="00B801D3"/>
    <w:rsid w:val="00B80A1C"/>
    <w:rsid w:val="00B80CB8"/>
    <w:rsid w:val="00B8148D"/>
    <w:rsid w:val="00B81603"/>
    <w:rsid w:val="00B81869"/>
    <w:rsid w:val="00B81B33"/>
    <w:rsid w:val="00B81DDA"/>
    <w:rsid w:val="00B81DEC"/>
    <w:rsid w:val="00B82018"/>
    <w:rsid w:val="00B82309"/>
    <w:rsid w:val="00B8245D"/>
    <w:rsid w:val="00B83172"/>
    <w:rsid w:val="00B8376A"/>
    <w:rsid w:val="00B83AE8"/>
    <w:rsid w:val="00B83B3A"/>
    <w:rsid w:val="00B84174"/>
    <w:rsid w:val="00B84D01"/>
    <w:rsid w:val="00B84D58"/>
    <w:rsid w:val="00B84F54"/>
    <w:rsid w:val="00B84FC3"/>
    <w:rsid w:val="00B858D7"/>
    <w:rsid w:val="00B860D0"/>
    <w:rsid w:val="00B866A9"/>
    <w:rsid w:val="00B8688D"/>
    <w:rsid w:val="00B86DC0"/>
    <w:rsid w:val="00B86EE3"/>
    <w:rsid w:val="00B86F31"/>
    <w:rsid w:val="00B87069"/>
    <w:rsid w:val="00B87259"/>
    <w:rsid w:val="00B87285"/>
    <w:rsid w:val="00B8786C"/>
    <w:rsid w:val="00B87965"/>
    <w:rsid w:val="00B87CBF"/>
    <w:rsid w:val="00B87E17"/>
    <w:rsid w:val="00B87E26"/>
    <w:rsid w:val="00B87F3C"/>
    <w:rsid w:val="00B90ACE"/>
    <w:rsid w:val="00B90DDA"/>
    <w:rsid w:val="00B90DE7"/>
    <w:rsid w:val="00B91428"/>
    <w:rsid w:val="00B91BA5"/>
    <w:rsid w:val="00B9266D"/>
    <w:rsid w:val="00B92A9A"/>
    <w:rsid w:val="00B92ACB"/>
    <w:rsid w:val="00B92DF5"/>
    <w:rsid w:val="00B93011"/>
    <w:rsid w:val="00B9321C"/>
    <w:rsid w:val="00B939DE"/>
    <w:rsid w:val="00B940F8"/>
    <w:rsid w:val="00B94915"/>
    <w:rsid w:val="00B95183"/>
    <w:rsid w:val="00B951D4"/>
    <w:rsid w:val="00B9556B"/>
    <w:rsid w:val="00B956D6"/>
    <w:rsid w:val="00B95D46"/>
    <w:rsid w:val="00B96288"/>
    <w:rsid w:val="00B96358"/>
    <w:rsid w:val="00B963E6"/>
    <w:rsid w:val="00B966AB"/>
    <w:rsid w:val="00B96822"/>
    <w:rsid w:val="00B96872"/>
    <w:rsid w:val="00B96D5A"/>
    <w:rsid w:val="00B96E5B"/>
    <w:rsid w:val="00B96FA2"/>
    <w:rsid w:val="00B96FFE"/>
    <w:rsid w:val="00B970F5"/>
    <w:rsid w:val="00B97256"/>
    <w:rsid w:val="00B97656"/>
    <w:rsid w:val="00B9792E"/>
    <w:rsid w:val="00B97D30"/>
    <w:rsid w:val="00B97EC4"/>
    <w:rsid w:val="00BA00FD"/>
    <w:rsid w:val="00BA0107"/>
    <w:rsid w:val="00BA0278"/>
    <w:rsid w:val="00BA068B"/>
    <w:rsid w:val="00BA073B"/>
    <w:rsid w:val="00BA12AC"/>
    <w:rsid w:val="00BA1342"/>
    <w:rsid w:val="00BA15FA"/>
    <w:rsid w:val="00BA1919"/>
    <w:rsid w:val="00BA2061"/>
    <w:rsid w:val="00BA2253"/>
    <w:rsid w:val="00BA3945"/>
    <w:rsid w:val="00BA3C28"/>
    <w:rsid w:val="00BA3D71"/>
    <w:rsid w:val="00BA4071"/>
    <w:rsid w:val="00BA423C"/>
    <w:rsid w:val="00BA43C8"/>
    <w:rsid w:val="00BA44D4"/>
    <w:rsid w:val="00BA4665"/>
    <w:rsid w:val="00BA48A9"/>
    <w:rsid w:val="00BA4CDB"/>
    <w:rsid w:val="00BA4F14"/>
    <w:rsid w:val="00BA5175"/>
    <w:rsid w:val="00BA5500"/>
    <w:rsid w:val="00BA615F"/>
    <w:rsid w:val="00BA65CE"/>
    <w:rsid w:val="00BA6685"/>
    <w:rsid w:val="00BA689A"/>
    <w:rsid w:val="00BA6E81"/>
    <w:rsid w:val="00BA7089"/>
    <w:rsid w:val="00BA7400"/>
    <w:rsid w:val="00BA76C1"/>
    <w:rsid w:val="00BA7A3A"/>
    <w:rsid w:val="00BA7B04"/>
    <w:rsid w:val="00BA7E15"/>
    <w:rsid w:val="00BB03F0"/>
    <w:rsid w:val="00BB04A2"/>
    <w:rsid w:val="00BB0948"/>
    <w:rsid w:val="00BB0F18"/>
    <w:rsid w:val="00BB0F38"/>
    <w:rsid w:val="00BB1142"/>
    <w:rsid w:val="00BB1637"/>
    <w:rsid w:val="00BB17F3"/>
    <w:rsid w:val="00BB18E8"/>
    <w:rsid w:val="00BB1B34"/>
    <w:rsid w:val="00BB32C3"/>
    <w:rsid w:val="00BB35F4"/>
    <w:rsid w:val="00BB380A"/>
    <w:rsid w:val="00BB3FA8"/>
    <w:rsid w:val="00BB4091"/>
    <w:rsid w:val="00BB47BE"/>
    <w:rsid w:val="00BB4890"/>
    <w:rsid w:val="00BB49E8"/>
    <w:rsid w:val="00BB4B0D"/>
    <w:rsid w:val="00BB4ED7"/>
    <w:rsid w:val="00BB4FDA"/>
    <w:rsid w:val="00BB511A"/>
    <w:rsid w:val="00BB555A"/>
    <w:rsid w:val="00BB55AC"/>
    <w:rsid w:val="00BB590D"/>
    <w:rsid w:val="00BB5963"/>
    <w:rsid w:val="00BB5AE0"/>
    <w:rsid w:val="00BB5F49"/>
    <w:rsid w:val="00BB629E"/>
    <w:rsid w:val="00BB6920"/>
    <w:rsid w:val="00BB6EB6"/>
    <w:rsid w:val="00BB716D"/>
    <w:rsid w:val="00BB7349"/>
    <w:rsid w:val="00BB7618"/>
    <w:rsid w:val="00BB78A4"/>
    <w:rsid w:val="00BB7A04"/>
    <w:rsid w:val="00BB7A19"/>
    <w:rsid w:val="00BB7AF5"/>
    <w:rsid w:val="00BB7C3B"/>
    <w:rsid w:val="00BB7CE3"/>
    <w:rsid w:val="00BB7FC8"/>
    <w:rsid w:val="00BC029C"/>
    <w:rsid w:val="00BC0AC2"/>
    <w:rsid w:val="00BC0C2B"/>
    <w:rsid w:val="00BC0D4B"/>
    <w:rsid w:val="00BC1010"/>
    <w:rsid w:val="00BC1144"/>
    <w:rsid w:val="00BC163A"/>
    <w:rsid w:val="00BC1925"/>
    <w:rsid w:val="00BC1E11"/>
    <w:rsid w:val="00BC2AF3"/>
    <w:rsid w:val="00BC2B43"/>
    <w:rsid w:val="00BC2C68"/>
    <w:rsid w:val="00BC3263"/>
    <w:rsid w:val="00BC3440"/>
    <w:rsid w:val="00BC356A"/>
    <w:rsid w:val="00BC371F"/>
    <w:rsid w:val="00BC3B75"/>
    <w:rsid w:val="00BC44EA"/>
    <w:rsid w:val="00BC4675"/>
    <w:rsid w:val="00BC4B7A"/>
    <w:rsid w:val="00BC4CD9"/>
    <w:rsid w:val="00BC4D85"/>
    <w:rsid w:val="00BC528D"/>
    <w:rsid w:val="00BC5799"/>
    <w:rsid w:val="00BC6763"/>
    <w:rsid w:val="00BC7211"/>
    <w:rsid w:val="00BC7CDE"/>
    <w:rsid w:val="00BD0043"/>
    <w:rsid w:val="00BD0B6E"/>
    <w:rsid w:val="00BD0C1B"/>
    <w:rsid w:val="00BD0C73"/>
    <w:rsid w:val="00BD165F"/>
    <w:rsid w:val="00BD16C0"/>
    <w:rsid w:val="00BD16E4"/>
    <w:rsid w:val="00BD1B78"/>
    <w:rsid w:val="00BD1BA0"/>
    <w:rsid w:val="00BD1CE2"/>
    <w:rsid w:val="00BD206E"/>
    <w:rsid w:val="00BD29D4"/>
    <w:rsid w:val="00BD2C89"/>
    <w:rsid w:val="00BD324F"/>
    <w:rsid w:val="00BD32C6"/>
    <w:rsid w:val="00BD341C"/>
    <w:rsid w:val="00BD34ED"/>
    <w:rsid w:val="00BD3506"/>
    <w:rsid w:val="00BD3930"/>
    <w:rsid w:val="00BD3A84"/>
    <w:rsid w:val="00BD4430"/>
    <w:rsid w:val="00BD4570"/>
    <w:rsid w:val="00BD59E9"/>
    <w:rsid w:val="00BD5CE8"/>
    <w:rsid w:val="00BD5EE7"/>
    <w:rsid w:val="00BD6029"/>
    <w:rsid w:val="00BD621C"/>
    <w:rsid w:val="00BD6369"/>
    <w:rsid w:val="00BD64A3"/>
    <w:rsid w:val="00BD6AE0"/>
    <w:rsid w:val="00BD6EB8"/>
    <w:rsid w:val="00BD7002"/>
    <w:rsid w:val="00BD7329"/>
    <w:rsid w:val="00BD7BB6"/>
    <w:rsid w:val="00BD7F7F"/>
    <w:rsid w:val="00BE06A0"/>
    <w:rsid w:val="00BE1133"/>
    <w:rsid w:val="00BE18F9"/>
    <w:rsid w:val="00BE1E0F"/>
    <w:rsid w:val="00BE235A"/>
    <w:rsid w:val="00BE2539"/>
    <w:rsid w:val="00BE2A1E"/>
    <w:rsid w:val="00BE2ACA"/>
    <w:rsid w:val="00BE2AFB"/>
    <w:rsid w:val="00BE2CEE"/>
    <w:rsid w:val="00BE36C5"/>
    <w:rsid w:val="00BE3A02"/>
    <w:rsid w:val="00BE3AAA"/>
    <w:rsid w:val="00BE41DE"/>
    <w:rsid w:val="00BE463E"/>
    <w:rsid w:val="00BE48DB"/>
    <w:rsid w:val="00BE49F1"/>
    <w:rsid w:val="00BE4DC8"/>
    <w:rsid w:val="00BE514D"/>
    <w:rsid w:val="00BE62A6"/>
    <w:rsid w:val="00BE6449"/>
    <w:rsid w:val="00BE66E5"/>
    <w:rsid w:val="00BE695A"/>
    <w:rsid w:val="00BE763A"/>
    <w:rsid w:val="00BE7869"/>
    <w:rsid w:val="00BE794F"/>
    <w:rsid w:val="00BE7CDF"/>
    <w:rsid w:val="00BE7DAC"/>
    <w:rsid w:val="00BF09AD"/>
    <w:rsid w:val="00BF0A7C"/>
    <w:rsid w:val="00BF0B02"/>
    <w:rsid w:val="00BF0E97"/>
    <w:rsid w:val="00BF0EAA"/>
    <w:rsid w:val="00BF12B4"/>
    <w:rsid w:val="00BF1C95"/>
    <w:rsid w:val="00BF2126"/>
    <w:rsid w:val="00BF2647"/>
    <w:rsid w:val="00BF294C"/>
    <w:rsid w:val="00BF2A73"/>
    <w:rsid w:val="00BF2BDA"/>
    <w:rsid w:val="00BF32F6"/>
    <w:rsid w:val="00BF3545"/>
    <w:rsid w:val="00BF379F"/>
    <w:rsid w:val="00BF3A22"/>
    <w:rsid w:val="00BF3BE4"/>
    <w:rsid w:val="00BF3D3A"/>
    <w:rsid w:val="00BF3D7C"/>
    <w:rsid w:val="00BF4677"/>
    <w:rsid w:val="00BF4769"/>
    <w:rsid w:val="00BF4A42"/>
    <w:rsid w:val="00BF4B47"/>
    <w:rsid w:val="00BF5003"/>
    <w:rsid w:val="00BF50F0"/>
    <w:rsid w:val="00BF5587"/>
    <w:rsid w:val="00BF59AB"/>
    <w:rsid w:val="00BF5EB0"/>
    <w:rsid w:val="00BF5F53"/>
    <w:rsid w:val="00BF607B"/>
    <w:rsid w:val="00BF64D2"/>
    <w:rsid w:val="00BF6544"/>
    <w:rsid w:val="00BF6562"/>
    <w:rsid w:val="00BF66E2"/>
    <w:rsid w:val="00BF6EBD"/>
    <w:rsid w:val="00BF753B"/>
    <w:rsid w:val="00BF7778"/>
    <w:rsid w:val="00BF78B7"/>
    <w:rsid w:val="00BF7DB5"/>
    <w:rsid w:val="00BF7F24"/>
    <w:rsid w:val="00BF7FA4"/>
    <w:rsid w:val="00BF7FF2"/>
    <w:rsid w:val="00C00195"/>
    <w:rsid w:val="00C00CE7"/>
    <w:rsid w:val="00C00D09"/>
    <w:rsid w:val="00C01346"/>
    <w:rsid w:val="00C01AB1"/>
    <w:rsid w:val="00C01C7D"/>
    <w:rsid w:val="00C0200C"/>
    <w:rsid w:val="00C0282B"/>
    <w:rsid w:val="00C02893"/>
    <w:rsid w:val="00C02B00"/>
    <w:rsid w:val="00C02F5E"/>
    <w:rsid w:val="00C03E0C"/>
    <w:rsid w:val="00C03F08"/>
    <w:rsid w:val="00C0562A"/>
    <w:rsid w:val="00C05699"/>
    <w:rsid w:val="00C05A01"/>
    <w:rsid w:val="00C05B0A"/>
    <w:rsid w:val="00C05CC6"/>
    <w:rsid w:val="00C05D20"/>
    <w:rsid w:val="00C05E8E"/>
    <w:rsid w:val="00C0607A"/>
    <w:rsid w:val="00C0643D"/>
    <w:rsid w:val="00C0645E"/>
    <w:rsid w:val="00C06721"/>
    <w:rsid w:val="00C06B14"/>
    <w:rsid w:val="00C06BC0"/>
    <w:rsid w:val="00C06C93"/>
    <w:rsid w:val="00C06D97"/>
    <w:rsid w:val="00C0731B"/>
    <w:rsid w:val="00C0788C"/>
    <w:rsid w:val="00C07952"/>
    <w:rsid w:val="00C079EB"/>
    <w:rsid w:val="00C10112"/>
    <w:rsid w:val="00C104DC"/>
    <w:rsid w:val="00C10832"/>
    <w:rsid w:val="00C1114D"/>
    <w:rsid w:val="00C112E3"/>
    <w:rsid w:val="00C11305"/>
    <w:rsid w:val="00C11AA2"/>
    <w:rsid w:val="00C11C2C"/>
    <w:rsid w:val="00C11C59"/>
    <w:rsid w:val="00C11D18"/>
    <w:rsid w:val="00C11EB6"/>
    <w:rsid w:val="00C12440"/>
    <w:rsid w:val="00C12850"/>
    <w:rsid w:val="00C12B23"/>
    <w:rsid w:val="00C12D71"/>
    <w:rsid w:val="00C12EB7"/>
    <w:rsid w:val="00C12ED5"/>
    <w:rsid w:val="00C133D7"/>
    <w:rsid w:val="00C134CA"/>
    <w:rsid w:val="00C14078"/>
    <w:rsid w:val="00C140A5"/>
    <w:rsid w:val="00C1448A"/>
    <w:rsid w:val="00C1472F"/>
    <w:rsid w:val="00C14BC4"/>
    <w:rsid w:val="00C158C7"/>
    <w:rsid w:val="00C15FAD"/>
    <w:rsid w:val="00C16596"/>
    <w:rsid w:val="00C165A2"/>
    <w:rsid w:val="00C16CA1"/>
    <w:rsid w:val="00C17346"/>
    <w:rsid w:val="00C173C6"/>
    <w:rsid w:val="00C173E6"/>
    <w:rsid w:val="00C174A8"/>
    <w:rsid w:val="00C1766B"/>
    <w:rsid w:val="00C17670"/>
    <w:rsid w:val="00C17D7C"/>
    <w:rsid w:val="00C20022"/>
    <w:rsid w:val="00C203F2"/>
    <w:rsid w:val="00C2073D"/>
    <w:rsid w:val="00C20971"/>
    <w:rsid w:val="00C20AF9"/>
    <w:rsid w:val="00C20AFD"/>
    <w:rsid w:val="00C20B5E"/>
    <w:rsid w:val="00C21251"/>
    <w:rsid w:val="00C21406"/>
    <w:rsid w:val="00C21B90"/>
    <w:rsid w:val="00C21C9B"/>
    <w:rsid w:val="00C21EB7"/>
    <w:rsid w:val="00C220A7"/>
    <w:rsid w:val="00C22512"/>
    <w:rsid w:val="00C2252A"/>
    <w:rsid w:val="00C2302C"/>
    <w:rsid w:val="00C230C1"/>
    <w:rsid w:val="00C2311B"/>
    <w:rsid w:val="00C2320B"/>
    <w:rsid w:val="00C233F0"/>
    <w:rsid w:val="00C237A8"/>
    <w:rsid w:val="00C23A5F"/>
    <w:rsid w:val="00C23B57"/>
    <w:rsid w:val="00C23D6D"/>
    <w:rsid w:val="00C23DDB"/>
    <w:rsid w:val="00C23DFF"/>
    <w:rsid w:val="00C23ED6"/>
    <w:rsid w:val="00C23F6F"/>
    <w:rsid w:val="00C24313"/>
    <w:rsid w:val="00C24769"/>
    <w:rsid w:val="00C24ABD"/>
    <w:rsid w:val="00C24BD9"/>
    <w:rsid w:val="00C24F8C"/>
    <w:rsid w:val="00C252C1"/>
    <w:rsid w:val="00C25416"/>
    <w:rsid w:val="00C25582"/>
    <w:rsid w:val="00C25DC4"/>
    <w:rsid w:val="00C25E8C"/>
    <w:rsid w:val="00C262DB"/>
    <w:rsid w:val="00C263D1"/>
    <w:rsid w:val="00C267DE"/>
    <w:rsid w:val="00C271F6"/>
    <w:rsid w:val="00C273F4"/>
    <w:rsid w:val="00C273F9"/>
    <w:rsid w:val="00C274C9"/>
    <w:rsid w:val="00C27573"/>
    <w:rsid w:val="00C300C7"/>
    <w:rsid w:val="00C30707"/>
    <w:rsid w:val="00C3076F"/>
    <w:rsid w:val="00C30B3B"/>
    <w:rsid w:val="00C315FB"/>
    <w:rsid w:val="00C31A4C"/>
    <w:rsid w:val="00C31A9C"/>
    <w:rsid w:val="00C31BE0"/>
    <w:rsid w:val="00C31CDB"/>
    <w:rsid w:val="00C3232C"/>
    <w:rsid w:val="00C324B3"/>
    <w:rsid w:val="00C32B0F"/>
    <w:rsid w:val="00C335AB"/>
    <w:rsid w:val="00C33847"/>
    <w:rsid w:val="00C338A8"/>
    <w:rsid w:val="00C339F0"/>
    <w:rsid w:val="00C34712"/>
    <w:rsid w:val="00C34823"/>
    <w:rsid w:val="00C34BA5"/>
    <w:rsid w:val="00C34BB6"/>
    <w:rsid w:val="00C34D27"/>
    <w:rsid w:val="00C34E1E"/>
    <w:rsid w:val="00C355A1"/>
    <w:rsid w:val="00C35D6F"/>
    <w:rsid w:val="00C3609F"/>
    <w:rsid w:val="00C362DF"/>
    <w:rsid w:val="00C365A2"/>
    <w:rsid w:val="00C367FB"/>
    <w:rsid w:val="00C36921"/>
    <w:rsid w:val="00C36D74"/>
    <w:rsid w:val="00C37BE0"/>
    <w:rsid w:val="00C37C07"/>
    <w:rsid w:val="00C37C64"/>
    <w:rsid w:val="00C402C4"/>
    <w:rsid w:val="00C4058C"/>
    <w:rsid w:val="00C41329"/>
    <w:rsid w:val="00C413A0"/>
    <w:rsid w:val="00C419EE"/>
    <w:rsid w:val="00C41DC7"/>
    <w:rsid w:val="00C41EC2"/>
    <w:rsid w:val="00C42491"/>
    <w:rsid w:val="00C42D43"/>
    <w:rsid w:val="00C43CFA"/>
    <w:rsid w:val="00C43FE6"/>
    <w:rsid w:val="00C4415D"/>
    <w:rsid w:val="00C443AC"/>
    <w:rsid w:val="00C444CF"/>
    <w:rsid w:val="00C45616"/>
    <w:rsid w:val="00C45621"/>
    <w:rsid w:val="00C45BBA"/>
    <w:rsid w:val="00C462F9"/>
    <w:rsid w:val="00C465DB"/>
    <w:rsid w:val="00C46A89"/>
    <w:rsid w:val="00C46D13"/>
    <w:rsid w:val="00C46E28"/>
    <w:rsid w:val="00C46FF2"/>
    <w:rsid w:val="00C47044"/>
    <w:rsid w:val="00C473E2"/>
    <w:rsid w:val="00C474EE"/>
    <w:rsid w:val="00C4758C"/>
    <w:rsid w:val="00C47914"/>
    <w:rsid w:val="00C47D93"/>
    <w:rsid w:val="00C503E4"/>
    <w:rsid w:val="00C507D5"/>
    <w:rsid w:val="00C508FC"/>
    <w:rsid w:val="00C50CD1"/>
    <w:rsid w:val="00C51890"/>
    <w:rsid w:val="00C51E66"/>
    <w:rsid w:val="00C51FF4"/>
    <w:rsid w:val="00C522C7"/>
    <w:rsid w:val="00C5236D"/>
    <w:rsid w:val="00C525B7"/>
    <w:rsid w:val="00C541D8"/>
    <w:rsid w:val="00C548E6"/>
    <w:rsid w:val="00C55368"/>
    <w:rsid w:val="00C56196"/>
    <w:rsid w:val="00C56277"/>
    <w:rsid w:val="00C56768"/>
    <w:rsid w:val="00C56995"/>
    <w:rsid w:val="00C56A86"/>
    <w:rsid w:val="00C57240"/>
    <w:rsid w:val="00C57470"/>
    <w:rsid w:val="00C574F1"/>
    <w:rsid w:val="00C576A4"/>
    <w:rsid w:val="00C57C83"/>
    <w:rsid w:val="00C57CE2"/>
    <w:rsid w:val="00C607A2"/>
    <w:rsid w:val="00C60EA0"/>
    <w:rsid w:val="00C60EBB"/>
    <w:rsid w:val="00C6163A"/>
    <w:rsid w:val="00C61B4D"/>
    <w:rsid w:val="00C61BDE"/>
    <w:rsid w:val="00C62772"/>
    <w:rsid w:val="00C62855"/>
    <w:rsid w:val="00C62E86"/>
    <w:rsid w:val="00C62F31"/>
    <w:rsid w:val="00C634C3"/>
    <w:rsid w:val="00C63CC3"/>
    <w:rsid w:val="00C63DFF"/>
    <w:rsid w:val="00C64032"/>
    <w:rsid w:val="00C640E8"/>
    <w:rsid w:val="00C6414F"/>
    <w:rsid w:val="00C641D2"/>
    <w:rsid w:val="00C6440F"/>
    <w:rsid w:val="00C644B5"/>
    <w:rsid w:val="00C645EA"/>
    <w:rsid w:val="00C64F27"/>
    <w:rsid w:val="00C64F5F"/>
    <w:rsid w:val="00C652E1"/>
    <w:rsid w:val="00C6575F"/>
    <w:rsid w:val="00C65973"/>
    <w:rsid w:val="00C65E2B"/>
    <w:rsid w:val="00C6615E"/>
    <w:rsid w:val="00C662A0"/>
    <w:rsid w:val="00C664F9"/>
    <w:rsid w:val="00C666B3"/>
    <w:rsid w:val="00C67B8E"/>
    <w:rsid w:val="00C67F6A"/>
    <w:rsid w:val="00C704C0"/>
    <w:rsid w:val="00C70549"/>
    <w:rsid w:val="00C70E42"/>
    <w:rsid w:val="00C70F80"/>
    <w:rsid w:val="00C7114C"/>
    <w:rsid w:val="00C71275"/>
    <w:rsid w:val="00C719E6"/>
    <w:rsid w:val="00C71A43"/>
    <w:rsid w:val="00C71CD2"/>
    <w:rsid w:val="00C71FCB"/>
    <w:rsid w:val="00C721D4"/>
    <w:rsid w:val="00C72222"/>
    <w:rsid w:val="00C723FC"/>
    <w:rsid w:val="00C726ED"/>
    <w:rsid w:val="00C72A2E"/>
    <w:rsid w:val="00C72C97"/>
    <w:rsid w:val="00C72CB7"/>
    <w:rsid w:val="00C72CF0"/>
    <w:rsid w:val="00C731CF"/>
    <w:rsid w:val="00C73BEC"/>
    <w:rsid w:val="00C741D8"/>
    <w:rsid w:val="00C741F0"/>
    <w:rsid w:val="00C744D2"/>
    <w:rsid w:val="00C74E56"/>
    <w:rsid w:val="00C74E8E"/>
    <w:rsid w:val="00C75108"/>
    <w:rsid w:val="00C756FC"/>
    <w:rsid w:val="00C76597"/>
    <w:rsid w:val="00C76B6B"/>
    <w:rsid w:val="00C77384"/>
    <w:rsid w:val="00C77710"/>
    <w:rsid w:val="00C77744"/>
    <w:rsid w:val="00C779C7"/>
    <w:rsid w:val="00C77ACF"/>
    <w:rsid w:val="00C8060B"/>
    <w:rsid w:val="00C80919"/>
    <w:rsid w:val="00C80966"/>
    <w:rsid w:val="00C80EB0"/>
    <w:rsid w:val="00C80F60"/>
    <w:rsid w:val="00C81533"/>
    <w:rsid w:val="00C82301"/>
    <w:rsid w:val="00C827BD"/>
    <w:rsid w:val="00C82840"/>
    <w:rsid w:val="00C83293"/>
    <w:rsid w:val="00C8349D"/>
    <w:rsid w:val="00C8398B"/>
    <w:rsid w:val="00C83F58"/>
    <w:rsid w:val="00C844CE"/>
    <w:rsid w:val="00C84776"/>
    <w:rsid w:val="00C84DFE"/>
    <w:rsid w:val="00C8504F"/>
    <w:rsid w:val="00C8532A"/>
    <w:rsid w:val="00C85381"/>
    <w:rsid w:val="00C85843"/>
    <w:rsid w:val="00C859B8"/>
    <w:rsid w:val="00C8624C"/>
    <w:rsid w:val="00C871A6"/>
    <w:rsid w:val="00C8726A"/>
    <w:rsid w:val="00C87B52"/>
    <w:rsid w:val="00C905C9"/>
    <w:rsid w:val="00C90BE5"/>
    <w:rsid w:val="00C90FC1"/>
    <w:rsid w:val="00C91689"/>
    <w:rsid w:val="00C91BC5"/>
    <w:rsid w:val="00C91C6D"/>
    <w:rsid w:val="00C92027"/>
    <w:rsid w:val="00C921B8"/>
    <w:rsid w:val="00C92386"/>
    <w:rsid w:val="00C92C5A"/>
    <w:rsid w:val="00C93393"/>
    <w:rsid w:val="00C934DA"/>
    <w:rsid w:val="00C93917"/>
    <w:rsid w:val="00C93AA1"/>
    <w:rsid w:val="00C93AC3"/>
    <w:rsid w:val="00C9466A"/>
    <w:rsid w:val="00C94DFD"/>
    <w:rsid w:val="00C951C1"/>
    <w:rsid w:val="00C9537C"/>
    <w:rsid w:val="00C958A0"/>
    <w:rsid w:val="00C95934"/>
    <w:rsid w:val="00C95D6C"/>
    <w:rsid w:val="00C95FF1"/>
    <w:rsid w:val="00C9613D"/>
    <w:rsid w:val="00C9619B"/>
    <w:rsid w:val="00C963CF"/>
    <w:rsid w:val="00C96461"/>
    <w:rsid w:val="00C965DD"/>
    <w:rsid w:val="00C96A79"/>
    <w:rsid w:val="00C974CC"/>
    <w:rsid w:val="00C97553"/>
    <w:rsid w:val="00CA007C"/>
    <w:rsid w:val="00CA042C"/>
    <w:rsid w:val="00CA068E"/>
    <w:rsid w:val="00CA07F6"/>
    <w:rsid w:val="00CA09E6"/>
    <w:rsid w:val="00CA0EB1"/>
    <w:rsid w:val="00CA11EA"/>
    <w:rsid w:val="00CA166E"/>
    <w:rsid w:val="00CA16F4"/>
    <w:rsid w:val="00CA1B3E"/>
    <w:rsid w:val="00CA1C4B"/>
    <w:rsid w:val="00CA1DEE"/>
    <w:rsid w:val="00CA201A"/>
    <w:rsid w:val="00CA25E4"/>
    <w:rsid w:val="00CA2FA1"/>
    <w:rsid w:val="00CA3427"/>
    <w:rsid w:val="00CA36EC"/>
    <w:rsid w:val="00CA388A"/>
    <w:rsid w:val="00CA3DF0"/>
    <w:rsid w:val="00CA3E12"/>
    <w:rsid w:val="00CA439E"/>
    <w:rsid w:val="00CA4486"/>
    <w:rsid w:val="00CA4CA2"/>
    <w:rsid w:val="00CA4E30"/>
    <w:rsid w:val="00CA50B4"/>
    <w:rsid w:val="00CA5C95"/>
    <w:rsid w:val="00CA5DFF"/>
    <w:rsid w:val="00CA61FD"/>
    <w:rsid w:val="00CA6519"/>
    <w:rsid w:val="00CA6AA5"/>
    <w:rsid w:val="00CA6FC3"/>
    <w:rsid w:val="00CA7C0C"/>
    <w:rsid w:val="00CA7D37"/>
    <w:rsid w:val="00CA7E55"/>
    <w:rsid w:val="00CB098C"/>
    <w:rsid w:val="00CB0CDA"/>
    <w:rsid w:val="00CB11EF"/>
    <w:rsid w:val="00CB138A"/>
    <w:rsid w:val="00CB208F"/>
    <w:rsid w:val="00CB229D"/>
    <w:rsid w:val="00CB22BC"/>
    <w:rsid w:val="00CB2636"/>
    <w:rsid w:val="00CB2765"/>
    <w:rsid w:val="00CB2CDB"/>
    <w:rsid w:val="00CB2F00"/>
    <w:rsid w:val="00CB31B7"/>
    <w:rsid w:val="00CB370D"/>
    <w:rsid w:val="00CB3E4F"/>
    <w:rsid w:val="00CB3E8A"/>
    <w:rsid w:val="00CB3F7C"/>
    <w:rsid w:val="00CB4448"/>
    <w:rsid w:val="00CB4D36"/>
    <w:rsid w:val="00CB5051"/>
    <w:rsid w:val="00CB5255"/>
    <w:rsid w:val="00CB5603"/>
    <w:rsid w:val="00CB5838"/>
    <w:rsid w:val="00CB5C67"/>
    <w:rsid w:val="00CB5CC2"/>
    <w:rsid w:val="00CB63D3"/>
    <w:rsid w:val="00CB6AE7"/>
    <w:rsid w:val="00CB7098"/>
    <w:rsid w:val="00CB7266"/>
    <w:rsid w:val="00CB754E"/>
    <w:rsid w:val="00CB7DED"/>
    <w:rsid w:val="00CC028B"/>
    <w:rsid w:val="00CC0A28"/>
    <w:rsid w:val="00CC0A95"/>
    <w:rsid w:val="00CC0B34"/>
    <w:rsid w:val="00CC1331"/>
    <w:rsid w:val="00CC1392"/>
    <w:rsid w:val="00CC17CE"/>
    <w:rsid w:val="00CC1982"/>
    <w:rsid w:val="00CC1C08"/>
    <w:rsid w:val="00CC22F0"/>
    <w:rsid w:val="00CC2D69"/>
    <w:rsid w:val="00CC32AC"/>
    <w:rsid w:val="00CC3EE3"/>
    <w:rsid w:val="00CC3F1F"/>
    <w:rsid w:val="00CC4015"/>
    <w:rsid w:val="00CC44BE"/>
    <w:rsid w:val="00CC4EC5"/>
    <w:rsid w:val="00CC4F6B"/>
    <w:rsid w:val="00CC5052"/>
    <w:rsid w:val="00CC5652"/>
    <w:rsid w:val="00CC5B3C"/>
    <w:rsid w:val="00CC5D54"/>
    <w:rsid w:val="00CC5DBD"/>
    <w:rsid w:val="00CC5E1C"/>
    <w:rsid w:val="00CC68A9"/>
    <w:rsid w:val="00CC7170"/>
    <w:rsid w:val="00CC7482"/>
    <w:rsid w:val="00CD0150"/>
    <w:rsid w:val="00CD0706"/>
    <w:rsid w:val="00CD0BAC"/>
    <w:rsid w:val="00CD0F0C"/>
    <w:rsid w:val="00CD133B"/>
    <w:rsid w:val="00CD17D9"/>
    <w:rsid w:val="00CD1992"/>
    <w:rsid w:val="00CD1FF5"/>
    <w:rsid w:val="00CD2273"/>
    <w:rsid w:val="00CD2BC9"/>
    <w:rsid w:val="00CD2BFA"/>
    <w:rsid w:val="00CD2CAB"/>
    <w:rsid w:val="00CD2D36"/>
    <w:rsid w:val="00CD2E94"/>
    <w:rsid w:val="00CD3028"/>
    <w:rsid w:val="00CD3921"/>
    <w:rsid w:val="00CD3B74"/>
    <w:rsid w:val="00CD4882"/>
    <w:rsid w:val="00CD4E3F"/>
    <w:rsid w:val="00CD5244"/>
    <w:rsid w:val="00CD5462"/>
    <w:rsid w:val="00CD5667"/>
    <w:rsid w:val="00CD5DB2"/>
    <w:rsid w:val="00CD65A9"/>
    <w:rsid w:val="00CD6CBD"/>
    <w:rsid w:val="00CD6CD2"/>
    <w:rsid w:val="00CD6DD9"/>
    <w:rsid w:val="00CD722C"/>
    <w:rsid w:val="00CD76D2"/>
    <w:rsid w:val="00CD77C1"/>
    <w:rsid w:val="00CD7854"/>
    <w:rsid w:val="00CD7949"/>
    <w:rsid w:val="00CE0441"/>
    <w:rsid w:val="00CE0A7F"/>
    <w:rsid w:val="00CE0FDF"/>
    <w:rsid w:val="00CE100D"/>
    <w:rsid w:val="00CE10DE"/>
    <w:rsid w:val="00CE150B"/>
    <w:rsid w:val="00CE1CDB"/>
    <w:rsid w:val="00CE1EAF"/>
    <w:rsid w:val="00CE3056"/>
    <w:rsid w:val="00CE3904"/>
    <w:rsid w:val="00CE3A56"/>
    <w:rsid w:val="00CE3D55"/>
    <w:rsid w:val="00CE3F42"/>
    <w:rsid w:val="00CE409A"/>
    <w:rsid w:val="00CE44BB"/>
    <w:rsid w:val="00CE522F"/>
    <w:rsid w:val="00CE5444"/>
    <w:rsid w:val="00CE56CA"/>
    <w:rsid w:val="00CE57B5"/>
    <w:rsid w:val="00CE5E09"/>
    <w:rsid w:val="00CE5E7E"/>
    <w:rsid w:val="00CE6B73"/>
    <w:rsid w:val="00CE6EA4"/>
    <w:rsid w:val="00CE6F43"/>
    <w:rsid w:val="00CE715A"/>
    <w:rsid w:val="00CE7386"/>
    <w:rsid w:val="00CE74CC"/>
    <w:rsid w:val="00CE7569"/>
    <w:rsid w:val="00CE75AD"/>
    <w:rsid w:val="00CE7839"/>
    <w:rsid w:val="00CE792F"/>
    <w:rsid w:val="00CE799D"/>
    <w:rsid w:val="00CE7BA5"/>
    <w:rsid w:val="00CE7D20"/>
    <w:rsid w:val="00CF00F7"/>
    <w:rsid w:val="00CF062F"/>
    <w:rsid w:val="00CF06BE"/>
    <w:rsid w:val="00CF0C1C"/>
    <w:rsid w:val="00CF0C1E"/>
    <w:rsid w:val="00CF1028"/>
    <w:rsid w:val="00CF1975"/>
    <w:rsid w:val="00CF1B21"/>
    <w:rsid w:val="00CF1EFF"/>
    <w:rsid w:val="00CF2AE8"/>
    <w:rsid w:val="00CF2E79"/>
    <w:rsid w:val="00CF2FD6"/>
    <w:rsid w:val="00CF3382"/>
    <w:rsid w:val="00CF34C5"/>
    <w:rsid w:val="00CF3C71"/>
    <w:rsid w:val="00CF3CF4"/>
    <w:rsid w:val="00CF419B"/>
    <w:rsid w:val="00CF47F8"/>
    <w:rsid w:val="00CF4856"/>
    <w:rsid w:val="00CF4D50"/>
    <w:rsid w:val="00CF4E71"/>
    <w:rsid w:val="00CF587B"/>
    <w:rsid w:val="00CF616B"/>
    <w:rsid w:val="00CF66D6"/>
    <w:rsid w:val="00CF6871"/>
    <w:rsid w:val="00CF694E"/>
    <w:rsid w:val="00CF69B2"/>
    <w:rsid w:val="00CF71AB"/>
    <w:rsid w:val="00CF7BF9"/>
    <w:rsid w:val="00D000F1"/>
    <w:rsid w:val="00D00140"/>
    <w:rsid w:val="00D0026F"/>
    <w:rsid w:val="00D00560"/>
    <w:rsid w:val="00D00ADE"/>
    <w:rsid w:val="00D00BAA"/>
    <w:rsid w:val="00D00E3A"/>
    <w:rsid w:val="00D012CC"/>
    <w:rsid w:val="00D01462"/>
    <w:rsid w:val="00D01A70"/>
    <w:rsid w:val="00D027A0"/>
    <w:rsid w:val="00D02813"/>
    <w:rsid w:val="00D028E1"/>
    <w:rsid w:val="00D02916"/>
    <w:rsid w:val="00D02CF9"/>
    <w:rsid w:val="00D02D57"/>
    <w:rsid w:val="00D02F56"/>
    <w:rsid w:val="00D032D3"/>
    <w:rsid w:val="00D0341D"/>
    <w:rsid w:val="00D037A3"/>
    <w:rsid w:val="00D03D3D"/>
    <w:rsid w:val="00D0423F"/>
    <w:rsid w:val="00D046D6"/>
    <w:rsid w:val="00D04A52"/>
    <w:rsid w:val="00D04ECF"/>
    <w:rsid w:val="00D0506E"/>
    <w:rsid w:val="00D0528A"/>
    <w:rsid w:val="00D054C8"/>
    <w:rsid w:val="00D056B7"/>
    <w:rsid w:val="00D05B25"/>
    <w:rsid w:val="00D05CC7"/>
    <w:rsid w:val="00D05EE6"/>
    <w:rsid w:val="00D05FD9"/>
    <w:rsid w:val="00D0646B"/>
    <w:rsid w:val="00D0659F"/>
    <w:rsid w:val="00D06623"/>
    <w:rsid w:val="00D06690"/>
    <w:rsid w:val="00D0682F"/>
    <w:rsid w:val="00D06E8C"/>
    <w:rsid w:val="00D07390"/>
    <w:rsid w:val="00D073B9"/>
    <w:rsid w:val="00D07847"/>
    <w:rsid w:val="00D07CF9"/>
    <w:rsid w:val="00D07E00"/>
    <w:rsid w:val="00D10104"/>
    <w:rsid w:val="00D1039D"/>
    <w:rsid w:val="00D10617"/>
    <w:rsid w:val="00D108FD"/>
    <w:rsid w:val="00D10AF9"/>
    <w:rsid w:val="00D10F65"/>
    <w:rsid w:val="00D11190"/>
    <w:rsid w:val="00D11276"/>
    <w:rsid w:val="00D11645"/>
    <w:rsid w:val="00D117BA"/>
    <w:rsid w:val="00D11C7B"/>
    <w:rsid w:val="00D11CD6"/>
    <w:rsid w:val="00D1205C"/>
    <w:rsid w:val="00D120CE"/>
    <w:rsid w:val="00D135CF"/>
    <w:rsid w:val="00D13748"/>
    <w:rsid w:val="00D13F03"/>
    <w:rsid w:val="00D14119"/>
    <w:rsid w:val="00D14B0E"/>
    <w:rsid w:val="00D14DF7"/>
    <w:rsid w:val="00D14F2D"/>
    <w:rsid w:val="00D14F4E"/>
    <w:rsid w:val="00D153F8"/>
    <w:rsid w:val="00D15411"/>
    <w:rsid w:val="00D158D5"/>
    <w:rsid w:val="00D15DD2"/>
    <w:rsid w:val="00D15E9F"/>
    <w:rsid w:val="00D160E2"/>
    <w:rsid w:val="00D160EA"/>
    <w:rsid w:val="00D164AB"/>
    <w:rsid w:val="00D16EF3"/>
    <w:rsid w:val="00D177D0"/>
    <w:rsid w:val="00D178EF"/>
    <w:rsid w:val="00D17D05"/>
    <w:rsid w:val="00D20157"/>
    <w:rsid w:val="00D2027E"/>
    <w:rsid w:val="00D20567"/>
    <w:rsid w:val="00D20696"/>
    <w:rsid w:val="00D20D19"/>
    <w:rsid w:val="00D212FC"/>
    <w:rsid w:val="00D2166E"/>
    <w:rsid w:val="00D21C1B"/>
    <w:rsid w:val="00D22598"/>
    <w:rsid w:val="00D22693"/>
    <w:rsid w:val="00D22F6D"/>
    <w:rsid w:val="00D233B8"/>
    <w:rsid w:val="00D23514"/>
    <w:rsid w:val="00D2377F"/>
    <w:rsid w:val="00D24535"/>
    <w:rsid w:val="00D2464B"/>
    <w:rsid w:val="00D24D04"/>
    <w:rsid w:val="00D24FD8"/>
    <w:rsid w:val="00D2513D"/>
    <w:rsid w:val="00D252FD"/>
    <w:rsid w:val="00D256AD"/>
    <w:rsid w:val="00D25799"/>
    <w:rsid w:val="00D25D88"/>
    <w:rsid w:val="00D265F5"/>
    <w:rsid w:val="00D26623"/>
    <w:rsid w:val="00D268B2"/>
    <w:rsid w:val="00D268F8"/>
    <w:rsid w:val="00D26F3A"/>
    <w:rsid w:val="00D27090"/>
    <w:rsid w:val="00D2716A"/>
    <w:rsid w:val="00D2728E"/>
    <w:rsid w:val="00D27398"/>
    <w:rsid w:val="00D27516"/>
    <w:rsid w:val="00D278CF"/>
    <w:rsid w:val="00D30B36"/>
    <w:rsid w:val="00D30BC6"/>
    <w:rsid w:val="00D314C5"/>
    <w:rsid w:val="00D326A8"/>
    <w:rsid w:val="00D3283A"/>
    <w:rsid w:val="00D328BF"/>
    <w:rsid w:val="00D32925"/>
    <w:rsid w:val="00D33196"/>
    <w:rsid w:val="00D33694"/>
    <w:rsid w:val="00D3373E"/>
    <w:rsid w:val="00D33823"/>
    <w:rsid w:val="00D33F9F"/>
    <w:rsid w:val="00D34154"/>
    <w:rsid w:val="00D3490F"/>
    <w:rsid w:val="00D34BFF"/>
    <w:rsid w:val="00D34E41"/>
    <w:rsid w:val="00D35268"/>
    <w:rsid w:val="00D35E1F"/>
    <w:rsid w:val="00D36533"/>
    <w:rsid w:val="00D36609"/>
    <w:rsid w:val="00D37366"/>
    <w:rsid w:val="00D37369"/>
    <w:rsid w:val="00D378DD"/>
    <w:rsid w:val="00D37A53"/>
    <w:rsid w:val="00D37CF4"/>
    <w:rsid w:val="00D37E2E"/>
    <w:rsid w:val="00D40682"/>
    <w:rsid w:val="00D407ED"/>
    <w:rsid w:val="00D40C23"/>
    <w:rsid w:val="00D41002"/>
    <w:rsid w:val="00D41055"/>
    <w:rsid w:val="00D410D4"/>
    <w:rsid w:val="00D4120C"/>
    <w:rsid w:val="00D41419"/>
    <w:rsid w:val="00D41925"/>
    <w:rsid w:val="00D41B84"/>
    <w:rsid w:val="00D41BF4"/>
    <w:rsid w:val="00D41C9E"/>
    <w:rsid w:val="00D41F84"/>
    <w:rsid w:val="00D4239D"/>
    <w:rsid w:val="00D42E47"/>
    <w:rsid w:val="00D42EFD"/>
    <w:rsid w:val="00D4308F"/>
    <w:rsid w:val="00D434FE"/>
    <w:rsid w:val="00D43BF4"/>
    <w:rsid w:val="00D43F3A"/>
    <w:rsid w:val="00D44161"/>
    <w:rsid w:val="00D44414"/>
    <w:rsid w:val="00D44B90"/>
    <w:rsid w:val="00D44C60"/>
    <w:rsid w:val="00D44CD7"/>
    <w:rsid w:val="00D44EC3"/>
    <w:rsid w:val="00D44F93"/>
    <w:rsid w:val="00D45214"/>
    <w:rsid w:val="00D45442"/>
    <w:rsid w:val="00D454ED"/>
    <w:rsid w:val="00D4629B"/>
    <w:rsid w:val="00D4647E"/>
    <w:rsid w:val="00D468C7"/>
    <w:rsid w:val="00D469A5"/>
    <w:rsid w:val="00D4708D"/>
    <w:rsid w:val="00D470AB"/>
    <w:rsid w:val="00D472AA"/>
    <w:rsid w:val="00D47A55"/>
    <w:rsid w:val="00D47BE7"/>
    <w:rsid w:val="00D50393"/>
    <w:rsid w:val="00D50445"/>
    <w:rsid w:val="00D50947"/>
    <w:rsid w:val="00D509E0"/>
    <w:rsid w:val="00D513F9"/>
    <w:rsid w:val="00D5191F"/>
    <w:rsid w:val="00D51B0F"/>
    <w:rsid w:val="00D51E0A"/>
    <w:rsid w:val="00D51F1F"/>
    <w:rsid w:val="00D523EB"/>
    <w:rsid w:val="00D52A55"/>
    <w:rsid w:val="00D52EFB"/>
    <w:rsid w:val="00D54424"/>
    <w:rsid w:val="00D54439"/>
    <w:rsid w:val="00D544A6"/>
    <w:rsid w:val="00D544E6"/>
    <w:rsid w:val="00D54880"/>
    <w:rsid w:val="00D549EF"/>
    <w:rsid w:val="00D54BEB"/>
    <w:rsid w:val="00D54DDA"/>
    <w:rsid w:val="00D550F8"/>
    <w:rsid w:val="00D55382"/>
    <w:rsid w:val="00D561F1"/>
    <w:rsid w:val="00D563C1"/>
    <w:rsid w:val="00D56614"/>
    <w:rsid w:val="00D570E3"/>
    <w:rsid w:val="00D5715A"/>
    <w:rsid w:val="00D574B3"/>
    <w:rsid w:val="00D60010"/>
    <w:rsid w:val="00D6009E"/>
    <w:rsid w:val="00D602B9"/>
    <w:rsid w:val="00D60B5B"/>
    <w:rsid w:val="00D60D44"/>
    <w:rsid w:val="00D61597"/>
    <w:rsid w:val="00D6189C"/>
    <w:rsid w:val="00D6211F"/>
    <w:rsid w:val="00D622E0"/>
    <w:rsid w:val="00D62758"/>
    <w:rsid w:val="00D627D1"/>
    <w:rsid w:val="00D6285C"/>
    <w:rsid w:val="00D62B55"/>
    <w:rsid w:val="00D62D32"/>
    <w:rsid w:val="00D63144"/>
    <w:rsid w:val="00D631CE"/>
    <w:rsid w:val="00D63344"/>
    <w:rsid w:val="00D637F9"/>
    <w:rsid w:val="00D6391B"/>
    <w:rsid w:val="00D639AE"/>
    <w:rsid w:val="00D64899"/>
    <w:rsid w:val="00D64FD1"/>
    <w:rsid w:val="00D65016"/>
    <w:rsid w:val="00D6509F"/>
    <w:rsid w:val="00D650B7"/>
    <w:rsid w:val="00D653FB"/>
    <w:rsid w:val="00D65B13"/>
    <w:rsid w:val="00D65DF1"/>
    <w:rsid w:val="00D6668E"/>
    <w:rsid w:val="00D667FF"/>
    <w:rsid w:val="00D67583"/>
    <w:rsid w:val="00D67BD5"/>
    <w:rsid w:val="00D701BC"/>
    <w:rsid w:val="00D702E1"/>
    <w:rsid w:val="00D70E32"/>
    <w:rsid w:val="00D70E6D"/>
    <w:rsid w:val="00D70EE8"/>
    <w:rsid w:val="00D71240"/>
    <w:rsid w:val="00D7209A"/>
    <w:rsid w:val="00D721D5"/>
    <w:rsid w:val="00D72725"/>
    <w:rsid w:val="00D7289F"/>
    <w:rsid w:val="00D72C1E"/>
    <w:rsid w:val="00D73282"/>
    <w:rsid w:val="00D7354E"/>
    <w:rsid w:val="00D737A4"/>
    <w:rsid w:val="00D73875"/>
    <w:rsid w:val="00D73895"/>
    <w:rsid w:val="00D73CF0"/>
    <w:rsid w:val="00D73F68"/>
    <w:rsid w:val="00D74997"/>
    <w:rsid w:val="00D749AD"/>
    <w:rsid w:val="00D74A49"/>
    <w:rsid w:val="00D74B3C"/>
    <w:rsid w:val="00D74E88"/>
    <w:rsid w:val="00D7578A"/>
    <w:rsid w:val="00D75D4F"/>
    <w:rsid w:val="00D7619B"/>
    <w:rsid w:val="00D7636F"/>
    <w:rsid w:val="00D76578"/>
    <w:rsid w:val="00D76600"/>
    <w:rsid w:val="00D76A50"/>
    <w:rsid w:val="00D76CF5"/>
    <w:rsid w:val="00D77463"/>
    <w:rsid w:val="00D7755D"/>
    <w:rsid w:val="00D77603"/>
    <w:rsid w:val="00D77628"/>
    <w:rsid w:val="00D777EB"/>
    <w:rsid w:val="00D77EF0"/>
    <w:rsid w:val="00D801BC"/>
    <w:rsid w:val="00D80221"/>
    <w:rsid w:val="00D802EC"/>
    <w:rsid w:val="00D806A3"/>
    <w:rsid w:val="00D80C48"/>
    <w:rsid w:val="00D812F8"/>
    <w:rsid w:val="00D816CA"/>
    <w:rsid w:val="00D81934"/>
    <w:rsid w:val="00D81D6F"/>
    <w:rsid w:val="00D828C7"/>
    <w:rsid w:val="00D82BED"/>
    <w:rsid w:val="00D83471"/>
    <w:rsid w:val="00D83747"/>
    <w:rsid w:val="00D83B37"/>
    <w:rsid w:val="00D83B56"/>
    <w:rsid w:val="00D845AA"/>
    <w:rsid w:val="00D8503F"/>
    <w:rsid w:val="00D85624"/>
    <w:rsid w:val="00D85665"/>
    <w:rsid w:val="00D85872"/>
    <w:rsid w:val="00D85BEA"/>
    <w:rsid w:val="00D85E1E"/>
    <w:rsid w:val="00D86188"/>
    <w:rsid w:val="00D86735"/>
    <w:rsid w:val="00D86A8A"/>
    <w:rsid w:val="00D8716B"/>
    <w:rsid w:val="00D87246"/>
    <w:rsid w:val="00D87C61"/>
    <w:rsid w:val="00D87C89"/>
    <w:rsid w:val="00D87EA1"/>
    <w:rsid w:val="00D904BB"/>
    <w:rsid w:val="00D904D0"/>
    <w:rsid w:val="00D90545"/>
    <w:rsid w:val="00D9071E"/>
    <w:rsid w:val="00D911C2"/>
    <w:rsid w:val="00D91475"/>
    <w:rsid w:val="00D91984"/>
    <w:rsid w:val="00D91BE8"/>
    <w:rsid w:val="00D91CD5"/>
    <w:rsid w:val="00D91D91"/>
    <w:rsid w:val="00D9277B"/>
    <w:rsid w:val="00D9292B"/>
    <w:rsid w:val="00D92A24"/>
    <w:rsid w:val="00D92B44"/>
    <w:rsid w:val="00D92F09"/>
    <w:rsid w:val="00D93B91"/>
    <w:rsid w:val="00D93F36"/>
    <w:rsid w:val="00D944EF"/>
    <w:rsid w:val="00D94865"/>
    <w:rsid w:val="00D948B6"/>
    <w:rsid w:val="00D94F93"/>
    <w:rsid w:val="00D962CF"/>
    <w:rsid w:val="00D9668F"/>
    <w:rsid w:val="00D967A9"/>
    <w:rsid w:val="00D96DDB"/>
    <w:rsid w:val="00D97653"/>
    <w:rsid w:val="00D9776E"/>
    <w:rsid w:val="00DA0347"/>
    <w:rsid w:val="00DA04C7"/>
    <w:rsid w:val="00DA0526"/>
    <w:rsid w:val="00DA0D9B"/>
    <w:rsid w:val="00DA1542"/>
    <w:rsid w:val="00DA180F"/>
    <w:rsid w:val="00DA1A5F"/>
    <w:rsid w:val="00DA21A0"/>
    <w:rsid w:val="00DA245D"/>
    <w:rsid w:val="00DA25FF"/>
    <w:rsid w:val="00DA2ED9"/>
    <w:rsid w:val="00DA3186"/>
    <w:rsid w:val="00DA339B"/>
    <w:rsid w:val="00DA344D"/>
    <w:rsid w:val="00DA3D02"/>
    <w:rsid w:val="00DA438B"/>
    <w:rsid w:val="00DA4436"/>
    <w:rsid w:val="00DA4ABA"/>
    <w:rsid w:val="00DA55C8"/>
    <w:rsid w:val="00DA579F"/>
    <w:rsid w:val="00DA599E"/>
    <w:rsid w:val="00DA5DDD"/>
    <w:rsid w:val="00DA5E90"/>
    <w:rsid w:val="00DA6065"/>
    <w:rsid w:val="00DA6080"/>
    <w:rsid w:val="00DA6EAE"/>
    <w:rsid w:val="00DA6FA0"/>
    <w:rsid w:val="00DA75AE"/>
    <w:rsid w:val="00DA7AE4"/>
    <w:rsid w:val="00DA7B97"/>
    <w:rsid w:val="00DA7BCC"/>
    <w:rsid w:val="00DA7C2D"/>
    <w:rsid w:val="00DA7F1E"/>
    <w:rsid w:val="00DB0BC0"/>
    <w:rsid w:val="00DB0D01"/>
    <w:rsid w:val="00DB0D28"/>
    <w:rsid w:val="00DB0D5D"/>
    <w:rsid w:val="00DB0E7A"/>
    <w:rsid w:val="00DB0F22"/>
    <w:rsid w:val="00DB1097"/>
    <w:rsid w:val="00DB1CEF"/>
    <w:rsid w:val="00DB1F64"/>
    <w:rsid w:val="00DB2440"/>
    <w:rsid w:val="00DB269C"/>
    <w:rsid w:val="00DB2727"/>
    <w:rsid w:val="00DB28C9"/>
    <w:rsid w:val="00DB296E"/>
    <w:rsid w:val="00DB2B9F"/>
    <w:rsid w:val="00DB3676"/>
    <w:rsid w:val="00DB4430"/>
    <w:rsid w:val="00DB44D4"/>
    <w:rsid w:val="00DB4605"/>
    <w:rsid w:val="00DB4B01"/>
    <w:rsid w:val="00DB56AB"/>
    <w:rsid w:val="00DB6024"/>
    <w:rsid w:val="00DB65EC"/>
    <w:rsid w:val="00DB6643"/>
    <w:rsid w:val="00DB6891"/>
    <w:rsid w:val="00DB6F21"/>
    <w:rsid w:val="00DC009D"/>
    <w:rsid w:val="00DC057F"/>
    <w:rsid w:val="00DC0CB4"/>
    <w:rsid w:val="00DC0F55"/>
    <w:rsid w:val="00DC1275"/>
    <w:rsid w:val="00DC194A"/>
    <w:rsid w:val="00DC1B60"/>
    <w:rsid w:val="00DC1CDD"/>
    <w:rsid w:val="00DC1EC4"/>
    <w:rsid w:val="00DC1EE5"/>
    <w:rsid w:val="00DC2497"/>
    <w:rsid w:val="00DC255F"/>
    <w:rsid w:val="00DC26B4"/>
    <w:rsid w:val="00DC275A"/>
    <w:rsid w:val="00DC2C8A"/>
    <w:rsid w:val="00DC34B7"/>
    <w:rsid w:val="00DC352F"/>
    <w:rsid w:val="00DC3A78"/>
    <w:rsid w:val="00DC43BC"/>
    <w:rsid w:val="00DC47C1"/>
    <w:rsid w:val="00DC4E38"/>
    <w:rsid w:val="00DC5018"/>
    <w:rsid w:val="00DC5AA4"/>
    <w:rsid w:val="00DC5AE3"/>
    <w:rsid w:val="00DC5BC7"/>
    <w:rsid w:val="00DC62E8"/>
    <w:rsid w:val="00DC6881"/>
    <w:rsid w:val="00DC6914"/>
    <w:rsid w:val="00DC729A"/>
    <w:rsid w:val="00DC734D"/>
    <w:rsid w:val="00DD0043"/>
    <w:rsid w:val="00DD0129"/>
    <w:rsid w:val="00DD02E5"/>
    <w:rsid w:val="00DD04C4"/>
    <w:rsid w:val="00DD0951"/>
    <w:rsid w:val="00DD13A8"/>
    <w:rsid w:val="00DD174E"/>
    <w:rsid w:val="00DD2A79"/>
    <w:rsid w:val="00DD2E5E"/>
    <w:rsid w:val="00DD2FC8"/>
    <w:rsid w:val="00DD305F"/>
    <w:rsid w:val="00DD33C2"/>
    <w:rsid w:val="00DD3FBD"/>
    <w:rsid w:val="00DD403C"/>
    <w:rsid w:val="00DD404C"/>
    <w:rsid w:val="00DD4FCE"/>
    <w:rsid w:val="00DD5099"/>
    <w:rsid w:val="00DD509C"/>
    <w:rsid w:val="00DD52E8"/>
    <w:rsid w:val="00DD52F5"/>
    <w:rsid w:val="00DD5676"/>
    <w:rsid w:val="00DD567D"/>
    <w:rsid w:val="00DD59FA"/>
    <w:rsid w:val="00DD5C88"/>
    <w:rsid w:val="00DD60CB"/>
    <w:rsid w:val="00DD62CC"/>
    <w:rsid w:val="00DD639B"/>
    <w:rsid w:val="00DD6925"/>
    <w:rsid w:val="00DD6D46"/>
    <w:rsid w:val="00DD702F"/>
    <w:rsid w:val="00DD7149"/>
    <w:rsid w:val="00DD7452"/>
    <w:rsid w:val="00DD7C8C"/>
    <w:rsid w:val="00DE0093"/>
    <w:rsid w:val="00DE0443"/>
    <w:rsid w:val="00DE04C1"/>
    <w:rsid w:val="00DE0D2F"/>
    <w:rsid w:val="00DE1082"/>
    <w:rsid w:val="00DE1221"/>
    <w:rsid w:val="00DE142D"/>
    <w:rsid w:val="00DE1463"/>
    <w:rsid w:val="00DE15DF"/>
    <w:rsid w:val="00DE194E"/>
    <w:rsid w:val="00DE1C27"/>
    <w:rsid w:val="00DE1E4B"/>
    <w:rsid w:val="00DE1F05"/>
    <w:rsid w:val="00DE2164"/>
    <w:rsid w:val="00DE2777"/>
    <w:rsid w:val="00DE284D"/>
    <w:rsid w:val="00DE2C00"/>
    <w:rsid w:val="00DE3144"/>
    <w:rsid w:val="00DE322E"/>
    <w:rsid w:val="00DE34A6"/>
    <w:rsid w:val="00DE3539"/>
    <w:rsid w:val="00DE3703"/>
    <w:rsid w:val="00DE385F"/>
    <w:rsid w:val="00DE40A9"/>
    <w:rsid w:val="00DE44C8"/>
    <w:rsid w:val="00DE4855"/>
    <w:rsid w:val="00DE4EDA"/>
    <w:rsid w:val="00DE5279"/>
    <w:rsid w:val="00DE5292"/>
    <w:rsid w:val="00DE5384"/>
    <w:rsid w:val="00DE5454"/>
    <w:rsid w:val="00DE6196"/>
    <w:rsid w:val="00DE65AE"/>
    <w:rsid w:val="00DE67F8"/>
    <w:rsid w:val="00DE6891"/>
    <w:rsid w:val="00DE6AE5"/>
    <w:rsid w:val="00DE6D42"/>
    <w:rsid w:val="00DE6DF0"/>
    <w:rsid w:val="00DE797F"/>
    <w:rsid w:val="00DE7B72"/>
    <w:rsid w:val="00DE7CB2"/>
    <w:rsid w:val="00DF037A"/>
    <w:rsid w:val="00DF0945"/>
    <w:rsid w:val="00DF0A15"/>
    <w:rsid w:val="00DF0ACC"/>
    <w:rsid w:val="00DF0E46"/>
    <w:rsid w:val="00DF0FAC"/>
    <w:rsid w:val="00DF11A2"/>
    <w:rsid w:val="00DF13A1"/>
    <w:rsid w:val="00DF19EB"/>
    <w:rsid w:val="00DF230E"/>
    <w:rsid w:val="00DF26C7"/>
    <w:rsid w:val="00DF2CEF"/>
    <w:rsid w:val="00DF3336"/>
    <w:rsid w:val="00DF3871"/>
    <w:rsid w:val="00DF3E11"/>
    <w:rsid w:val="00DF40A1"/>
    <w:rsid w:val="00DF46CD"/>
    <w:rsid w:val="00DF4865"/>
    <w:rsid w:val="00DF4CD0"/>
    <w:rsid w:val="00DF58D4"/>
    <w:rsid w:val="00DF59CE"/>
    <w:rsid w:val="00DF5C3C"/>
    <w:rsid w:val="00DF7259"/>
    <w:rsid w:val="00DF74BC"/>
    <w:rsid w:val="00DF7D81"/>
    <w:rsid w:val="00DF7E1D"/>
    <w:rsid w:val="00E002E1"/>
    <w:rsid w:val="00E005A4"/>
    <w:rsid w:val="00E0066C"/>
    <w:rsid w:val="00E00FE4"/>
    <w:rsid w:val="00E0196F"/>
    <w:rsid w:val="00E01A1E"/>
    <w:rsid w:val="00E01AF9"/>
    <w:rsid w:val="00E01DC7"/>
    <w:rsid w:val="00E02317"/>
    <w:rsid w:val="00E027E1"/>
    <w:rsid w:val="00E028FB"/>
    <w:rsid w:val="00E02AEB"/>
    <w:rsid w:val="00E032DF"/>
    <w:rsid w:val="00E03568"/>
    <w:rsid w:val="00E03B8F"/>
    <w:rsid w:val="00E03C85"/>
    <w:rsid w:val="00E03EBA"/>
    <w:rsid w:val="00E041F6"/>
    <w:rsid w:val="00E042B6"/>
    <w:rsid w:val="00E045F9"/>
    <w:rsid w:val="00E046A6"/>
    <w:rsid w:val="00E04AEF"/>
    <w:rsid w:val="00E04C7E"/>
    <w:rsid w:val="00E04ECC"/>
    <w:rsid w:val="00E04FAB"/>
    <w:rsid w:val="00E04FD8"/>
    <w:rsid w:val="00E05733"/>
    <w:rsid w:val="00E05930"/>
    <w:rsid w:val="00E05F11"/>
    <w:rsid w:val="00E06503"/>
    <w:rsid w:val="00E067DE"/>
    <w:rsid w:val="00E074F3"/>
    <w:rsid w:val="00E078BC"/>
    <w:rsid w:val="00E078F4"/>
    <w:rsid w:val="00E07BE5"/>
    <w:rsid w:val="00E07C33"/>
    <w:rsid w:val="00E106D1"/>
    <w:rsid w:val="00E1077A"/>
    <w:rsid w:val="00E10AF9"/>
    <w:rsid w:val="00E10C1D"/>
    <w:rsid w:val="00E1138B"/>
    <w:rsid w:val="00E1167C"/>
    <w:rsid w:val="00E11AF3"/>
    <w:rsid w:val="00E12609"/>
    <w:rsid w:val="00E128C9"/>
    <w:rsid w:val="00E12D9F"/>
    <w:rsid w:val="00E13359"/>
    <w:rsid w:val="00E139D1"/>
    <w:rsid w:val="00E13C15"/>
    <w:rsid w:val="00E148D5"/>
    <w:rsid w:val="00E14B75"/>
    <w:rsid w:val="00E14D5F"/>
    <w:rsid w:val="00E155B3"/>
    <w:rsid w:val="00E15D7C"/>
    <w:rsid w:val="00E15E3E"/>
    <w:rsid w:val="00E1646D"/>
    <w:rsid w:val="00E1654B"/>
    <w:rsid w:val="00E16DDC"/>
    <w:rsid w:val="00E17456"/>
    <w:rsid w:val="00E21677"/>
    <w:rsid w:val="00E22122"/>
    <w:rsid w:val="00E22228"/>
    <w:rsid w:val="00E2226D"/>
    <w:rsid w:val="00E22484"/>
    <w:rsid w:val="00E22AD7"/>
    <w:rsid w:val="00E2352A"/>
    <w:rsid w:val="00E23D22"/>
    <w:rsid w:val="00E24143"/>
    <w:rsid w:val="00E244E1"/>
    <w:rsid w:val="00E245D9"/>
    <w:rsid w:val="00E24A8A"/>
    <w:rsid w:val="00E24AEE"/>
    <w:rsid w:val="00E24E23"/>
    <w:rsid w:val="00E25069"/>
    <w:rsid w:val="00E25725"/>
    <w:rsid w:val="00E25B3D"/>
    <w:rsid w:val="00E26BBA"/>
    <w:rsid w:val="00E30CF5"/>
    <w:rsid w:val="00E30DD5"/>
    <w:rsid w:val="00E313A2"/>
    <w:rsid w:val="00E31584"/>
    <w:rsid w:val="00E3204D"/>
    <w:rsid w:val="00E32981"/>
    <w:rsid w:val="00E330FC"/>
    <w:rsid w:val="00E334EC"/>
    <w:rsid w:val="00E33657"/>
    <w:rsid w:val="00E3379C"/>
    <w:rsid w:val="00E33D73"/>
    <w:rsid w:val="00E3432C"/>
    <w:rsid w:val="00E34BF5"/>
    <w:rsid w:val="00E35231"/>
    <w:rsid w:val="00E3544C"/>
    <w:rsid w:val="00E356CC"/>
    <w:rsid w:val="00E3574B"/>
    <w:rsid w:val="00E35783"/>
    <w:rsid w:val="00E359F3"/>
    <w:rsid w:val="00E35CCA"/>
    <w:rsid w:val="00E35E2F"/>
    <w:rsid w:val="00E3620C"/>
    <w:rsid w:val="00E36365"/>
    <w:rsid w:val="00E36EB3"/>
    <w:rsid w:val="00E37310"/>
    <w:rsid w:val="00E37D5E"/>
    <w:rsid w:val="00E40350"/>
    <w:rsid w:val="00E4069D"/>
    <w:rsid w:val="00E4070B"/>
    <w:rsid w:val="00E407EB"/>
    <w:rsid w:val="00E40C95"/>
    <w:rsid w:val="00E40E84"/>
    <w:rsid w:val="00E40EBC"/>
    <w:rsid w:val="00E40ED5"/>
    <w:rsid w:val="00E40F50"/>
    <w:rsid w:val="00E40F98"/>
    <w:rsid w:val="00E4187D"/>
    <w:rsid w:val="00E41CAA"/>
    <w:rsid w:val="00E41DE4"/>
    <w:rsid w:val="00E42594"/>
    <w:rsid w:val="00E42D7B"/>
    <w:rsid w:val="00E42E5D"/>
    <w:rsid w:val="00E4322D"/>
    <w:rsid w:val="00E43C34"/>
    <w:rsid w:val="00E4402F"/>
    <w:rsid w:val="00E4452D"/>
    <w:rsid w:val="00E44B0D"/>
    <w:rsid w:val="00E44CF5"/>
    <w:rsid w:val="00E44E7C"/>
    <w:rsid w:val="00E450A7"/>
    <w:rsid w:val="00E452D0"/>
    <w:rsid w:val="00E45528"/>
    <w:rsid w:val="00E4573C"/>
    <w:rsid w:val="00E464B6"/>
    <w:rsid w:val="00E466CB"/>
    <w:rsid w:val="00E469EE"/>
    <w:rsid w:val="00E473C2"/>
    <w:rsid w:val="00E47A13"/>
    <w:rsid w:val="00E47C7C"/>
    <w:rsid w:val="00E5047F"/>
    <w:rsid w:val="00E504B6"/>
    <w:rsid w:val="00E50D36"/>
    <w:rsid w:val="00E51602"/>
    <w:rsid w:val="00E52141"/>
    <w:rsid w:val="00E523B6"/>
    <w:rsid w:val="00E5260A"/>
    <w:rsid w:val="00E52BFC"/>
    <w:rsid w:val="00E52C78"/>
    <w:rsid w:val="00E533B1"/>
    <w:rsid w:val="00E53A6B"/>
    <w:rsid w:val="00E53D79"/>
    <w:rsid w:val="00E54C00"/>
    <w:rsid w:val="00E54D37"/>
    <w:rsid w:val="00E55166"/>
    <w:rsid w:val="00E5557E"/>
    <w:rsid w:val="00E55624"/>
    <w:rsid w:val="00E55C79"/>
    <w:rsid w:val="00E5634A"/>
    <w:rsid w:val="00E56C5B"/>
    <w:rsid w:val="00E57133"/>
    <w:rsid w:val="00E57401"/>
    <w:rsid w:val="00E576F3"/>
    <w:rsid w:val="00E5774C"/>
    <w:rsid w:val="00E57C17"/>
    <w:rsid w:val="00E57F97"/>
    <w:rsid w:val="00E602A7"/>
    <w:rsid w:val="00E60303"/>
    <w:rsid w:val="00E603C9"/>
    <w:rsid w:val="00E60DE5"/>
    <w:rsid w:val="00E61323"/>
    <w:rsid w:val="00E61776"/>
    <w:rsid w:val="00E61938"/>
    <w:rsid w:val="00E61E7F"/>
    <w:rsid w:val="00E6266E"/>
    <w:rsid w:val="00E62925"/>
    <w:rsid w:val="00E62DC1"/>
    <w:rsid w:val="00E63944"/>
    <w:rsid w:val="00E63C01"/>
    <w:rsid w:val="00E64341"/>
    <w:rsid w:val="00E647E4"/>
    <w:rsid w:val="00E64F6F"/>
    <w:rsid w:val="00E65103"/>
    <w:rsid w:val="00E65850"/>
    <w:rsid w:val="00E66099"/>
    <w:rsid w:val="00E660F4"/>
    <w:rsid w:val="00E6631E"/>
    <w:rsid w:val="00E66A8C"/>
    <w:rsid w:val="00E66E87"/>
    <w:rsid w:val="00E67357"/>
    <w:rsid w:val="00E67560"/>
    <w:rsid w:val="00E7034D"/>
    <w:rsid w:val="00E7046A"/>
    <w:rsid w:val="00E704D2"/>
    <w:rsid w:val="00E70675"/>
    <w:rsid w:val="00E712DC"/>
    <w:rsid w:val="00E714C1"/>
    <w:rsid w:val="00E714DE"/>
    <w:rsid w:val="00E7158B"/>
    <w:rsid w:val="00E7166B"/>
    <w:rsid w:val="00E71B81"/>
    <w:rsid w:val="00E7266E"/>
    <w:rsid w:val="00E7277C"/>
    <w:rsid w:val="00E72A5F"/>
    <w:rsid w:val="00E733A1"/>
    <w:rsid w:val="00E7467E"/>
    <w:rsid w:val="00E74F15"/>
    <w:rsid w:val="00E75917"/>
    <w:rsid w:val="00E759A9"/>
    <w:rsid w:val="00E75CC0"/>
    <w:rsid w:val="00E76A1D"/>
    <w:rsid w:val="00E7703F"/>
    <w:rsid w:val="00E772F0"/>
    <w:rsid w:val="00E77402"/>
    <w:rsid w:val="00E77A3E"/>
    <w:rsid w:val="00E8027B"/>
    <w:rsid w:val="00E80976"/>
    <w:rsid w:val="00E81277"/>
    <w:rsid w:val="00E81510"/>
    <w:rsid w:val="00E81603"/>
    <w:rsid w:val="00E81C4B"/>
    <w:rsid w:val="00E81D78"/>
    <w:rsid w:val="00E82416"/>
    <w:rsid w:val="00E82A03"/>
    <w:rsid w:val="00E82B29"/>
    <w:rsid w:val="00E82B49"/>
    <w:rsid w:val="00E82BEA"/>
    <w:rsid w:val="00E82D88"/>
    <w:rsid w:val="00E834A7"/>
    <w:rsid w:val="00E8405A"/>
    <w:rsid w:val="00E8423D"/>
    <w:rsid w:val="00E849A7"/>
    <w:rsid w:val="00E84B54"/>
    <w:rsid w:val="00E85303"/>
    <w:rsid w:val="00E85912"/>
    <w:rsid w:val="00E85FDF"/>
    <w:rsid w:val="00E865FE"/>
    <w:rsid w:val="00E86830"/>
    <w:rsid w:val="00E86B01"/>
    <w:rsid w:val="00E86D5C"/>
    <w:rsid w:val="00E86EFC"/>
    <w:rsid w:val="00E86F47"/>
    <w:rsid w:val="00E8702A"/>
    <w:rsid w:val="00E87906"/>
    <w:rsid w:val="00E90154"/>
    <w:rsid w:val="00E9063E"/>
    <w:rsid w:val="00E91622"/>
    <w:rsid w:val="00E91CE0"/>
    <w:rsid w:val="00E9217D"/>
    <w:rsid w:val="00E928E6"/>
    <w:rsid w:val="00E92A50"/>
    <w:rsid w:val="00E92FB4"/>
    <w:rsid w:val="00E934E2"/>
    <w:rsid w:val="00E93526"/>
    <w:rsid w:val="00E9395D"/>
    <w:rsid w:val="00E94886"/>
    <w:rsid w:val="00E94BF0"/>
    <w:rsid w:val="00E94DE0"/>
    <w:rsid w:val="00E94F80"/>
    <w:rsid w:val="00E950B2"/>
    <w:rsid w:val="00E95845"/>
    <w:rsid w:val="00E95893"/>
    <w:rsid w:val="00E958D2"/>
    <w:rsid w:val="00E95EE4"/>
    <w:rsid w:val="00E95F1D"/>
    <w:rsid w:val="00E96376"/>
    <w:rsid w:val="00E96675"/>
    <w:rsid w:val="00E96756"/>
    <w:rsid w:val="00E969F9"/>
    <w:rsid w:val="00E96F57"/>
    <w:rsid w:val="00E9738B"/>
    <w:rsid w:val="00E97506"/>
    <w:rsid w:val="00E9778A"/>
    <w:rsid w:val="00E97C9B"/>
    <w:rsid w:val="00E97CCA"/>
    <w:rsid w:val="00EA0BDD"/>
    <w:rsid w:val="00EA1083"/>
    <w:rsid w:val="00EA1139"/>
    <w:rsid w:val="00EA1172"/>
    <w:rsid w:val="00EA12D8"/>
    <w:rsid w:val="00EA1477"/>
    <w:rsid w:val="00EA156A"/>
    <w:rsid w:val="00EA158B"/>
    <w:rsid w:val="00EA1A68"/>
    <w:rsid w:val="00EA1ED6"/>
    <w:rsid w:val="00EA1FBD"/>
    <w:rsid w:val="00EA22D3"/>
    <w:rsid w:val="00EA2A44"/>
    <w:rsid w:val="00EA2D6F"/>
    <w:rsid w:val="00EA3639"/>
    <w:rsid w:val="00EA513D"/>
    <w:rsid w:val="00EA5AF1"/>
    <w:rsid w:val="00EA5EAF"/>
    <w:rsid w:val="00EA6064"/>
    <w:rsid w:val="00EA6298"/>
    <w:rsid w:val="00EA6B05"/>
    <w:rsid w:val="00EA6E98"/>
    <w:rsid w:val="00EA73AE"/>
    <w:rsid w:val="00EA74EF"/>
    <w:rsid w:val="00EA7608"/>
    <w:rsid w:val="00EA76B4"/>
    <w:rsid w:val="00EA7BA4"/>
    <w:rsid w:val="00EA7C05"/>
    <w:rsid w:val="00EA7C1F"/>
    <w:rsid w:val="00EB0162"/>
    <w:rsid w:val="00EB01B7"/>
    <w:rsid w:val="00EB097C"/>
    <w:rsid w:val="00EB0A10"/>
    <w:rsid w:val="00EB0A89"/>
    <w:rsid w:val="00EB0EBF"/>
    <w:rsid w:val="00EB1C4E"/>
    <w:rsid w:val="00EB24F1"/>
    <w:rsid w:val="00EB26DB"/>
    <w:rsid w:val="00EB2BBD"/>
    <w:rsid w:val="00EB2DDD"/>
    <w:rsid w:val="00EB301A"/>
    <w:rsid w:val="00EB3254"/>
    <w:rsid w:val="00EB3337"/>
    <w:rsid w:val="00EB35E3"/>
    <w:rsid w:val="00EB3723"/>
    <w:rsid w:val="00EB38A2"/>
    <w:rsid w:val="00EB3FD6"/>
    <w:rsid w:val="00EB448A"/>
    <w:rsid w:val="00EB457F"/>
    <w:rsid w:val="00EB4728"/>
    <w:rsid w:val="00EB4B9D"/>
    <w:rsid w:val="00EB4D38"/>
    <w:rsid w:val="00EB4D72"/>
    <w:rsid w:val="00EB578B"/>
    <w:rsid w:val="00EB581C"/>
    <w:rsid w:val="00EB5CE1"/>
    <w:rsid w:val="00EB746D"/>
    <w:rsid w:val="00EB773B"/>
    <w:rsid w:val="00EC0140"/>
    <w:rsid w:val="00EC0539"/>
    <w:rsid w:val="00EC0951"/>
    <w:rsid w:val="00EC17CF"/>
    <w:rsid w:val="00EC1801"/>
    <w:rsid w:val="00EC1F0F"/>
    <w:rsid w:val="00EC2199"/>
    <w:rsid w:val="00EC22FE"/>
    <w:rsid w:val="00EC243F"/>
    <w:rsid w:val="00EC24CB"/>
    <w:rsid w:val="00EC2620"/>
    <w:rsid w:val="00EC2E83"/>
    <w:rsid w:val="00EC311D"/>
    <w:rsid w:val="00EC349E"/>
    <w:rsid w:val="00EC4167"/>
    <w:rsid w:val="00EC46D4"/>
    <w:rsid w:val="00EC5826"/>
    <w:rsid w:val="00EC5894"/>
    <w:rsid w:val="00EC5B9D"/>
    <w:rsid w:val="00EC5E6B"/>
    <w:rsid w:val="00EC667B"/>
    <w:rsid w:val="00EC6C11"/>
    <w:rsid w:val="00EC7091"/>
    <w:rsid w:val="00EC7263"/>
    <w:rsid w:val="00EC748D"/>
    <w:rsid w:val="00EC758C"/>
    <w:rsid w:val="00EC7611"/>
    <w:rsid w:val="00EC7888"/>
    <w:rsid w:val="00EC7A3E"/>
    <w:rsid w:val="00EC7C91"/>
    <w:rsid w:val="00EC7F27"/>
    <w:rsid w:val="00ED025B"/>
    <w:rsid w:val="00ED083C"/>
    <w:rsid w:val="00ED09AC"/>
    <w:rsid w:val="00ED0B85"/>
    <w:rsid w:val="00ED14BE"/>
    <w:rsid w:val="00ED15F7"/>
    <w:rsid w:val="00ED1688"/>
    <w:rsid w:val="00ED18F6"/>
    <w:rsid w:val="00ED1BB8"/>
    <w:rsid w:val="00ED2BF1"/>
    <w:rsid w:val="00ED2C85"/>
    <w:rsid w:val="00ED2E33"/>
    <w:rsid w:val="00ED3157"/>
    <w:rsid w:val="00ED388E"/>
    <w:rsid w:val="00ED3F38"/>
    <w:rsid w:val="00ED4232"/>
    <w:rsid w:val="00ED432E"/>
    <w:rsid w:val="00ED47E7"/>
    <w:rsid w:val="00ED4D98"/>
    <w:rsid w:val="00ED5048"/>
    <w:rsid w:val="00ED5AEE"/>
    <w:rsid w:val="00ED5B3C"/>
    <w:rsid w:val="00ED5C1A"/>
    <w:rsid w:val="00ED5C41"/>
    <w:rsid w:val="00ED5D84"/>
    <w:rsid w:val="00ED5E43"/>
    <w:rsid w:val="00ED6668"/>
    <w:rsid w:val="00ED6684"/>
    <w:rsid w:val="00ED6C7A"/>
    <w:rsid w:val="00ED6D3F"/>
    <w:rsid w:val="00ED73F2"/>
    <w:rsid w:val="00ED7597"/>
    <w:rsid w:val="00ED7658"/>
    <w:rsid w:val="00ED7B3F"/>
    <w:rsid w:val="00ED7BA6"/>
    <w:rsid w:val="00ED7E39"/>
    <w:rsid w:val="00ED7FFB"/>
    <w:rsid w:val="00EE001E"/>
    <w:rsid w:val="00EE0107"/>
    <w:rsid w:val="00EE0855"/>
    <w:rsid w:val="00EE0D01"/>
    <w:rsid w:val="00EE109E"/>
    <w:rsid w:val="00EE17F4"/>
    <w:rsid w:val="00EE1905"/>
    <w:rsid w:val="00EE1B07"/>
    <w:rsid w:val="00EE1D02"/>
    <w:rsid w:val="00EE1E69"/>
    <w:rsid w:val="00EE1FF6"/>
    <w:rsid w:val="00EE2073"/>
    <w:rsid w:val="00EE2655"/>
    <w:rsid w:val="00EE3866"/>
    <w:rsid w:val="00EE38F2"/>
    <w:rsid w:val="00EE527F"/>
    <w:rsid w:val="00EE5854"/>
    <w:rsid w:val="00EE5889"/>
    <w:rsid w:val="00EE58E9"/>
    <w:rsid w:val="00EE5D65"/>
    <w:rsid w:val="00EE61A9"/>
    <w:rsid w:val="00EE631B"/>
    <w:rsid w:val="00EE6395"/>
    <w:rsid w:val="00EE6939"/>
    <w:rsid w:val="00EE6955"/>
    <w:rsid w:val="00EE6C36"/>
    <w:rsid w:val="00EE6FBA"/>
    <w:rsid w:val="00EE7090"/>
    <w:rsid w:val="00EE78FD"/>
    <w:rsid w:val="00EE79B2"/>
    <w:rsid w:val="00EE7DBE"/>
    <w:rsid w:val="00EF06C0"/>
    <w:rsid w:val="00EF0BBE"/>
    <w:rsid w:val="00EF138F"/>
    <w:rsid w:val="00EF14CB"/>
    <w:rsid w:val="00EF1918"/>
    <w:rsid w:val="00EF1AE6"/>
    <w:rsid w:val="00EF1D01"/>
    <w:rsid w:val="00EF2C77"/>
    <w:rsid w:val="00EF331B"/>
    <w:rsid w:val="00EF33AA"/>
    <w:rsid w:val="00EF361E"/>
    <w:rsid w:val="00EF3864"/>
    <w:rsid w:val="00EF42E5"/>
    <w:rsid w:val="00EF4379"/>
    <w:rsid w:val="00EF4509"/>
    <w:rsid w:val="00EF47FC"/>
    <w:rsid w:val="00EF5A73"/>
    <w:rsid w:val="00EF6085"/>
    <w:rsid w:val="00EF6130"/>
    <w:rsid w:val="00EF6FC7"/>
    <w:rsid w:val="00EF708C"/>
    <w:rsid w:val="00EF73AA"/>
    <w:rsid w:val="00EF7469"/>
    <w:rsid w:val="00EF7B64"/>
    <w:rsid w:val="00EF7D69"/>
    <w:rsid w:val="00F00346"/>
    <w:rsid w:val="00F00564"/>
    <w:rsid w:val="00F009D5"/>
    <w:rsid w:val="00F009EA"/>
    <w:rsid w:val="00F013A2"/>
    <w:rsid w:val="00F01FE9"/>
    <w:rsid w:val="00F023CA"/>
    <w:rsid w:val="00F029D7"/>
    <w:rsid w:val="00F02D5D"/>
    <w:rsid w:val="00F0304A"/>
    <w:rsid w:val="00F03298"/>
    <w:rsid w:val="00F03363"/>
    <w:rsid w:val="00F03D04"/>
    <w:rsid w:val="00F04D61"/>
    <w:rsid w:val="00F04FCE"/>
    <w:rsid w:val="00F0500C"/>
    <w:rsid w:val="00F05010"/>
    <w:rsid w:val="00F05771"/>
    <w:rsid w:val="00F05F96"/>
    <w:rsid w:val="00F06472"/>
    <w:rsid w:val="00F06636"/>
    <w:rsid w:val="00F06E43"/>
    <w:rsid w:val="00F07D53"/>
    <w:rsid w:val="00F07FD8"/>
    <w:rsid w:val="00F104B4"/>
    <w:rsid w:val="00F107B2"/>
    <w:rsid w:val="00F10DE2"/>
    <w:rsid w:val="00F11151"/>
    <w:rsid w:val="00F11D2C"/>
    <w:rsid w:val="00F11E38"/>
    <w:rsid w:val="00F12015"/>
    <w:rsid w:val="00F1257A"/>
    <w:rsid w:val="00F12952"/>
    <w:rsid w:val="00F12989"/>
    <w:rsid w:val="00F12C26"/>
    <w:rsid w:val="00F13343"/>
    <w:rsid w:val="00F13493"/>
    <w:rsid w:val="00F13ABE"/>
    <w:rsid w:val="00F13C0E"/>
    <w:rsid w:val="00F14477"/>
    <w:rsid w:val="00F1477A"/>
    <w:rsid w:val="00F14A8A"/>
    <w:rsid w:val="00F14B77"/>
    <w:rsid w:val="00F14FEE"/>
    <w:rsid w:val="00F1508C"/>
    <w:rsid w:val="00F1514E"/>
    <w:rsid w:val="00F15218"/>
    <w:rsid w:val="00F152AA"/>
    <w:rsid w:val="00F155FB"/>
    <w:rsid w:val="00F162DD"/>
    <w:rsid w:val="00F164F4"/>
    <w:rsid w:val="00F16976"/>
    <w:rsid w:val="00F169C3"/>
    <w:rsid w:val="00F210A7"/>
    <w:rsid w:val="00F213D0"/>
    <w:rsid w:val="00F22A87"/>
    <w:rsid w:val="00F22E5E"/>
    <w:rsid w:val="00F233D5"/>
    <w:rsid w:val="00F241E6"/>
    <w:rsid w:val="00F24319"/>
    <w:rsid w:val="00F24F8B"/>
    <w:rsid w:val="00F25016"/>
    <w:rsid w:val="00F25084"/>
    <w:rsid w:val="00F25B0C"/>
    <w:rsid w:val="00F27775"/>
    <w:rsid w:val="00F278FE"/>
    <w:rsid w:val="00F2793E"/>
    <w:rsid w:val="00F27A7E"/>
    <w:rsid w:val="00F300F8"/>
    <w:rsid w:val="00F30192"/>
    <w:rsid w:val="00F306FD"/>
    <w:rsid w:val="00F3118B"/>
    <w:rsid w:val="00F3131E"/>
    <w:rsid w:val="00F314D9"/>
    <w:rsid w:val="00F31C3B"/>
    <w:rsid w:val="00F32719"/>
    <w:rsid w:val="00F32810"/>
    <w:rsid w:val="00F3323B"/>
    <w:rsid w:val="00F33301"/>
    <w:rsid w:val="00F33A74"/>
    <w:rsid w:val="00F33AB6"/>
    <w:rsid w:val="00F33AE5"/>
    <w:rsid w:val="00F3411A"/>
    <w:rsid w:val="00F34999"/>
    <w:rsid w:val="00F34E3A"/>
    <w:rsid w:val="00F35120"/>
    <w:rsid w:val="00F35303"/>
    <w:rsid w:val="00F3532C"/>
    <w:rsid w:val="00F35703"/>
    <w:rsid w:val="00F35A73"/>
    <w:rsid w:val="00F365A8"/>
    <w:rsid w:val="00F367C2"/>
    <w:rsid w:val="00F36BC4"/>
    <w:rsid w:val="00F36FA1"/>
    <w:rsid w:val="00F37188"/>
    <w:rsid w:val="00F3757F"/>
    <w:rsid w:val="00F3776A"/>
    <w:rsid w:val="00F37A25"/>
    <w:rsid w:val="00F37F66"/>
    <w:rsid w:val="00F40051"/>
    <w:rsid w:val="00F40B13"/>
    <w:rsid w:val="00F40BB9"/>
    <w:rsid w:val="00F41122"/>
    <w:rsid w:val="00F41B4C"/>
    <w:rsid w:val="00F41DF7"/>
    <w:rsid w:val="00F41EEA"/>
    <w:rsid w:val="00F426FA"/>
    <w:rsid w:val="00F42825"/>
    <w:rsid w:val="00F43354"/>
    <w:rsid w:val="00F43532"/>
    <w:rsid w:val="00F43F6A"/>
    <w:rsid w:val="00F44323"/>
    <w:rsid w:val="00F44587"/>
    <w:rsid w:val="00F449DB"/>
    <w:rsid w:val="00F44A85"/>
    <w:rsid w:val="00F44D83"/>
    <w:rsid w:val="00F44ED5"/>
    <w:rsid w:val="00F4555D"/>
    <w:rsid w:val="00F4598D"/>
    <w:rsid w:val="00F45C4A"/>
    <w:rsid w:val="00F46050"/>
    <w:rsid w:val="00F4678A"/>
    <w:rsid w:val="00F46BEA"/>
    <w:rsid w:val="00F46E29"/>
    <w:rsid w:val="00F47063"/>
    <w:rsid w:val="00F471A5"/>
    <w:rsid w:val="00F4752C"/>
    <w:rsid w:val="00F47D6D"/>
    <w:rsid w:val="00F47EA0"/>
    <w:rsid w:val="00F50487"/>
    <w:rsid w:val="00F505B1"/>
    <w:rsid w:val="00F5095A"/>
    <w:rsid w:val="00F50B29"/>
    <w:rsid w:val="00F51206"/>
    <w:rsid w:val="00F515DB"/>
    <w:rsid w:val="00F51783"/>
    <w:rsid w:val="00F51C89"/>
    <w:rsid w:val="00F51DEC"/>
    <w:rsid w:val="00F51F3C"/>
    <w:rsid w:val="00F52999"/>
    <w:rsid w:val="00F532C2"/>
    <w:rsid w:val="00F533C3"/>
    <w:rsid w:val="00F539F6"/>
    <w:rsid w:val="00F53F6E"/>
    <w:rsid w:val="00F54757"/>
    <w:rsid w:val="00F55110"/>
    <w:rsid w:val="00F5521E"/>
    <w:rsid w:val="00F55341"/>
    <w:rsid w:val="00F557A9"/>
    <w:rsid w:val="00F55E1D"/>
    <w:rsid w:val="00F5620B"/>
    <w:rsid w:val="00F56354"/>
    <w:rsid w:val="00F563C1"/>
    <w:rsid w:val="00F56A7F"/>
    <w:rsid w:val="00F56B36"/>
    <w:rsid w:val="00F60B3E"/>
    <w:rsid w:val="00F612AD"/>
    <w:rsid w:val="00F612E2"/>
    <w:rsid w:val="00F613A1"/>
    <w:rsid w:val="00F62223"/>
    <w:rsid w:val="00F6267E"/>
    <w:rsid w:val="00F62B8A"/>
    <w:rsid w:val="00F62D7A"/>
    <w:rsid w:val="00F633C1"/>
    <w:rsid w:val="00F63561"/>
    <w:rsid w:val="00F63602"/>
    <w:rsid w:val="00F63848"/>
    <w:rsid w:val="00F6392D"/>
    <w:rsid w:val="00F63D3A"/>
    <w:rsid w:val="00F63E6F"/>
    <w:rsid w:val="00F63F2D"/>
    <w:rsid w:val="00F64879"/>
    <w:rsid w:val="00F64CC4"/>
    <w:rsid w:val="00F64E86"/>
    <w:rsid w:val="00F65209"/>
    <w:rsid w:val="00F65B05"/>
    <w:rsid w:val="00F65B13"/>
    <w:rsid w:val="00F65CAA"/>
    <w:rsid w:val="00F66E2A"/>
    <w:rsid w:val="00F6745A"/>
    <w:rsid w:val="00F67EB7"/>
    <w:rsid w:val="00F7023D"/>
    <w:rsid w:val="00F7034E"/>
    <w:rsid w:val="00F70943"/>
    <w:rsid w:val="00F70E95"/>
    <w:rsid w:val="00F70F8B"/>
    <w:rsid w:val="00F710D3"/>
    <w:rsid w:val="00F71118"/>
    <w:rsid w:val="00F711A4"/>
    <w:rsid w:val="00F714B3"/>
    <w:rsid w:val="00F7171D"/>
    <w:rsid w:val="00F719E9"/>
    <w:rsid w:val="00F72224"/>
    <w:rsid w:val="00F725CE"/>
    <w:rsid w:val="00F726A0"/>
    <w:rsid w:val="00F7289E"/>
    <w:rsid w:val="00F72A44"/>
    <w:rsid w:val="00F72DF7"/>
    <w:rsid w:val="00F73597"/>
    <w:rsid w:val="00F73A25"/>
    <w:rsid w:val="00F73B8A"/>
    <w:rsid w:val="00F73DC7"/>
    <w:rsid w:val="00F74623"/>
    <w:rsid w:val="00F74D66"/>
    <w:rsid w:val="00F7539C"/>
    <w:rsid w:val="00F762E0"/>
    <w:rsid w:val="00F76892"/>
    <w:rsid w:val="00F7697A"/>
    <w:rsid w:val="00F76C74"/>
    <w:rsid w:val="00F772DA"/>
    <w:rsid w:val="00F7778E"/>
    <w:rsid w:val="00F77943"/>
    <w:rsid w:val="00F77BB5"/>
    <w:rsid w:val="00F800E7"/>
    <w:rsid w:val="00F80229"/>
    <w:rsid w:val="00F8037E"/>
    <w:rsid w:val="00F8086E"/>
    <w:rsid w:val="00F80D25"/>
    <w:rsid w:val="00F8100F"/>
    <w:rsid w:val="00F81371"/>
    <w:rsid w:val="00F815B8"/>
    <w:rsid w:val="00F81863"/>
    <w:rsid w:val="00F81881"/>
    <w:rsid w:val="00F81897"/>
    <w:rsid w:val="00F81928"/>
    <w:rsid w:val="00F81A67"/>
    <w:rsid w:val="00F82394"/>
    <w:rsid w:val="00F82520"/>
    <w:rsid w:val="00F82833"/>
    <w:rsid w:val="00F82E69"/>
    <w:rsid w:val="00F830C0"/>
    <w:rsid w:val="00F83AFA"/>
    <w:rsid w:val="00F84048"/>
    <w:rsid w:val="00F8418E"/>
    <w:rsid w:val="00F84300"/>
    <w:rsid w:val="00F844B4"/>
    <w:rsid w:val="00F845D6"/>
    <w:rsid w:val="00F8496A"/>
    <w:rsid w:val="00F855A2"/>
    <w:rsid w:val="00F8590C"/>
    <w:rsid w:val="00F85982"/>
    <w:rsid w:val="00F85CF9"/>
    <w:rsid w:val="00F865C7"/>
    <w:rsid w:val="00F86949"/>
    <w:rsid w:val="00F86C0D"/>
    <w:rsid w:val="00F86C9F"/>
    <w:rsid w:val="00F86E52"/>
    <w:rsid w:val="00F87C85"/>
    <w:rsid w:val="00F900BF"/>
    <w:rsid w:val="00F90275"/>
    <w:rsid w:val="00F90376"/>
    <w:rsid w:val="00F90513"/>
    <w:rsid w:val="00F90570"/>
    <w:rsid w:val="00F9064A"/>
    <w:rsid w:val="00F90F58"/>
    <w:rsid w:val="00F91622"/>
    <w:rsid w:val="00F9180A"/>
    <w:rsid w:val="00F91AE1"/>
    <w:rsid w:val="00F91B4F"/>
    <w:rsid w:val="00F91DF5"/>
    <w:rsid w:val="00F9283E"/>
    <w:rsid w:val="00F92F8F"/>
    <w:rsid w:val="00F931AC"/>
    <w:rsid w:val="00F93335"/>
    <w:rsid w:val="00F93A93"/>
    <w:rsid w:val="00F93EB9"/>
    <w:rsid w:val="00F93EE0"/>
    <w:rsid w:val="00F9446D"/>
    <w:rsid w:val="00F94869"/>
    <w:rsid w:val="00F949E3"/>
    <w:rsid w:val="00F94A33"/>
    <w:rsid w:val="00F94CB0"/>
    <w:rsid w:val="00F950FF"/>
    <w:rsid w:val="00F95BCA"/>
    <w:rsid w:val="00F95F89"/>
    <w:rsid w:val="00F966A4"/>
    <w:rsid w:val="00F96C44"/>
    <w:rsid w:val="00F97256"/>
    <w:rsid w:val="00F97375"/>
    <w:rsid w:val="00F9767B"/>
    <w:rsid w:val="00F97978"/>
    <w:rsid w:val="00F9799F"/>
    <w:rsid w:val="00FA0081"/>
    <w:rsid w:val="00FA0202"/>
    <w:rsid w:val="00FA0609"/>
    <w:rsid w:val="00FA0A46"/>
    <w:rsid w:val="00FA0BFE"/>
    <w:rsid w:val="00FA100A"/>
    <w:rsid w:val="00FA1451"/>
    <w:rsid w:val="00FA1715"/>
    <w:rsid w:val="00FA1B7A"/>
    <w:rsid w:val="00FA24DF"/>
    <w:rsid w:val="00FA29DE"/>
    <w:rsid w:val="00FA2E91"/>
    <w:rsid w:val="00FA35DA"/>
    <w:rsid w:val="00FA36F5"/>
    <w:rsid w:val="00FA3B1D"/>
    <w:rsid w:val="00FA408D"/>
    <w:rsid w:val="00FA4338"/>
    <w:rsid w:val="00FA4746"/>
    <w:rsid w:val="00FA4859"/>
    <w:rsid w:val="00FA48BD"/>
    <w:rsid w:val="00FA49AC"/>
    <w:rsid w:val="00FA4BA3"/>
    <w:rsid w:val="00FA4F56"/>
    <w:rsid w:val="00FA56D4"/>
    <w:rsid w:val="00FA5AD3"/>
    <w:rsid w:val="00FA629F"/>
    <w:rsid w:val="00FA62BC"/>
    <w:rsid w:val="00FA632C"/>
    <w:rsid w:val="00FA6926"/>
    <w:rsid w:val="00FA6AB4"/>
    <w:rsid w:val="00FA6C31"/>
    <w:rsid w:val="00FA6C79"/>
    <w:rsid w:val="00FA6FB3"/>
    <w:rsid w:val="00FA704C"/>
    <w:rsid w:val="00FA715C"/>
    <w:rsid w:val="00FA737A"/>
    <w:rsid w:val="00FA7A7A"/>
    <w:rsid w:val="00FA7B67"/>
    <w:rsid w:val="00FA7E79"/>
    <w:rsid w:val="00FB0496"/>
    <w:rsid w:val="00FB0CB7"/>
    <w:rsid w:val="00FB118A"/>
    <w:rsid w:val="00FB126B"/>
    <w:rsid w:val="00FB1A8F"/>
    <w:rsid w:val="00FB1D23"/>
    <w:rsid w:val="00FB1F38"/>
    <w:rsid w:val="00FB2237"/>
    <w:rsid w:val="00FB2871"/>
    <w:rsid w:val="00FB3507"/>
    <w:rsid w:val="00FB3AFC"/>
    <w:rsid w:val="00FB4027"/>
    <w:rsid w:val="00FB4056"/>
    <w:rsid w:val="00FB475E"/>
    <w:rsid w:val="00FB483D"/>
    <w:rsid w:val="00FB5A09"/>
    <w:rsid w:val="00FB5C38"/>
    <w:rsid w:val="00FB5D41"/>
    <w:rsid w:val="00FB6524"/>
    <w:rsid w:val="00FB65B8"/>
    <w:rsid w:val="00FB65D9"/>
    <w:rsid w:val="00FB7180"/>
    <w:rsid w:val="00FB7335"/>
    <w:rsid w:val="00FB757A"/>
    <w:rsid w:val="00FB75A1"/>
    <w:rsid w:val="00FB761A"/>
    <w:rsid w:val="00FB7843"/>
    <w:rsid w:val="00FB7922"/>
    <w:rsid w:val="00FC026D"/>
    <w:rsid w:val="00FC03B9"/>
    <w:rsid w:val="00FC04F7"/>
    <w:rsid w:val="00FC0DA3"/>
    <w:rsid w:val="00FC20C2"/>
    <w:rsid w:val="00FC2177"/>
    <w:rsid w:val="00FC311F"/>
    <w:rsid w:val="00FC3211"/>
    <w:rsid w:val="00FC39EF"/>
    <w:rsid w:val="00FC4081"/>
    <w:rsid w:val="00FC44F4"/>
    <w:rsid w:val="00FC456D"/>
    <w:rsid w:val="00FC4EE7"/>
    <w:rsid w:val="00FC504C"/>
    <w:rsid w:val="00FC54F1"/>
    <w:rsid w:val="00FC5538"/>
    <w:rsid w:val="00FC56A0"/>
    <w:rsid w:val="00FC59F2"/>
    <w:rsid w:val="00FC5ED8"/>
    <w:rsid w:val="00FC6425"/>
    <w:rsid w:val="00FC6A51"/>
    <w:rsid w:val="00FC6ECC"/>
    <w:rsid w:val="00FC6F41"/>
    <w:rsid w:val="00FC7070"/>
    <w:rsid w:val="00FC7364"/>
    <w:rsid w:val="00FC772D"/>
    <w:rsid w:val="00FC7884"/>
    <w:rsid w:val="00FC7908"/>
    <w:rsid w:val="00FC7F12"/>
    <w:rsid w:val="00FD0B26"/>
    <w:rsid w:val="00FD0D04"/>
    <w:rsid w:val="00FD1478"/>
    <w:rsid w:val="00FD147F"/>
    <w:rsid w:val="00FD1A00"/>
    <w:rsid w:val="00FD2143"/>
    <w:rsid w:val="00FD227F"/>
    <w:rsid w:val="00FD28AE"/>
    <w:rsid w:val="00FD28E5"/>
    <w:rsid w:val="00FD2932"/>
    <w:rsid w:val="00FD2B37"/>
    <w:rsid w:val="00FD3705"/>
    <w:rsid w:val="00FD3AF7"/>
    <w:rsid w:val="00FD4FE9"/>
    <w:rsid w:val="00FD54C2"/>
    <w:rsid w:val="00FD56A0"/>
    <w:rsid w:val="00FD5962"/>
    <w:rsid w:val="00FD60A0"/>
    <w:rsid w:val="00FD6437"/>
    <w:rsid w:val="00FD6E51"/>
    <w:rsid w:val="00FD7A41"/>
    <w:rsid w:val="00FE042E"/>
    <w:rsid w:val="00FE06F7"/>
    <w:rsid w:val="00FE0D07"/>
    <w:rsid w:val="00FE11A2"/>
    <w:rsid w:val="00FE13EF"/>
    <w:rsid w:val="00FE17EF"/>
    <w:rsid w:val="00FE19B1"/>
    <w:rsid w:val="00FE1B0D"/>
    <w:rsid w:val="00FE1E7F"/>
    <w:rsid w:val="00FE1F82"/>
    <w:rsid w:val="00FE2005"/>
    <w:rsid w:val="00FE280A"/>
    <w:rsid w:val="00FE2D90"/>
    <w:rsid w:val="00FE2FEB"/>
    <w:rsid w:val="00FE3104"/>
    <w:rsid w:val="00FE3448"/>
    <w:rsid w:val="00FE407F"/>
    <w:rsid w:val="00FE4D0C"/>
    <w:rsid w:val="00FE4D99"/>
    <w:rsid w:val="00FE4F93"/>
    <w:rsid w:val="00FE557F"/>
    <w:rsid w:val="00FE565A"/>
    <w:rsid w:val="00FE582C"/>
    <w:rsid w:val="00FE5CC1"/>
    <w:rsid w:val="00FE63A8"/>
    <w:rsid w:val="00FE66A6"/>
    <w:rsid w:val="00FE6970"/>
    <w:rsid w:val="00FE6A51"/>
    <w:rsid w:val="00FE6F26"/>
    <w:rsid w:val="00FE71A9"/>
    <w:rsid w:val="00FE7311"/>
    <w:rsid w:val="00FE748B"/>
    <w:rsid w:val="00FE75D3"/>
    <w:rsid w:val="00FE788F"/>
    <w:rsid w:val="00FF0222"/>
    <w:rsid w:val="00FF082A"/>
    <w:rsid w:val="00FF0B75"/>
    <w:rsid w:val="00FF1D4F"/>
    <w:rsid w:val="00FF1E2F"/>
    <w:rsid w:val="00FF21F1"/>
    <w:rsid w:val="00FF27A5"/>
    <w:rsid w:val="00FF2C5C"/>
    <w:rsid w:val="00FF321A"/>
    <w:rsid w:val="00FF33A7"/>
    <w:rsid w:val="00FF35CB"/>
    <w:rsid w:val="00FF443D"/>
    <w:rsid w:val="00FF451F"/>
    <w:rsid w:val="00FF47ED"/>
    <w:rsid w:val="00FF5004"/>
    <w:rsid w:val="00FF5089"/>
    <w:rsid w:val="00FF53CD"/>
    <w:rsid w:val="00FF53DA"/>
    <w:rsid w:val="00FF562F"/>
    <w:rsid w:val="00FF576E"/>
    <w:rsid w:val="00FF57CB"/>
    <w:rsid w:val="00FF583E"/>
    <w:rsid w:val="00FF5C10"/>
    <w:rsid w:val="00FF5CE4"/>
    <w:rsid w:val="00FF5EC6"/>
    <w:rsid w:val="00FF6CC3"/>
    <w:rsid w:val="00FF705F"/>
    <w:rsid w:val="00FF71CD"/>
    <w:rsid w:val="00FF7210"/>
    <w:rsid w:val="00FF72BD"/>
    <w:rsid w:val="01722330"/>
    <w:rsid w:val="017240DE"/>
    <w:rsid w:val="01E21263"/>
    <w:rsid w:val="02041E86"/>
    <w:rsid w:val="0216715F"/>
    <w:rsid w:val="02182ED7"/>
    <w:rsid w:val="02234FDD"/>
    <w:rsid w:val="023615AF"/>
    <w:rsid w:val="02572D69"/>
    <w:rsid w:val="02581525"/>
    <w:rsid w:val="025B133E"/>
    <w:rsid w:val="026954E1"/>
    <w:rsid w:val="0288005D"/>
    <w:rsid w:val="0303576D"/>
    <w:rsid w:val="030D0562"/>
    <w:rsid w:val="03280EF8"/>
    <w:rsid w:val="03B439E3"/>
    <w:rsid w:val="03D472D2"/>
    <w:rsid w:val="03EA5BDB"/>
    <w:rsid w:val="04001E75"/>
    <w:rsid w:val="042F4508"/>
    <w:rsid w:val="04357D70"/>
    <w:rsid w:val="047848E3"/>
    <w:rsid w:val="047900FF"/>
    <w:rsid w:val="04A05FE8"/>
    <w:rsid w:val="04A42800"/>
    <w:rsid w:val="04B11C31"/>
    <w:rsid w:val="04B635B2"/>
    <w:rsid w:val="04FF3EDA"/>
    <w:rsid w:val="05263B5D"/>
    <w:rsid w:val="05940D8C"/>
    <w:rsid w:val="05AC519E"/>
    <w:rsid w:val="05B11678"/>
    <w:rsid w:val="05C36530"/>
    <w:rsid w:val="05E01F5E"/>
    <w:rsid w:val="05E2725D"/>
    <w:rsid w:val="060C2D53"/>
    <w:rsid w:val="061D615F"/>
    <w:rsid w:val="06316315"/>
    <w:rsid w:val="067F4DE2"/>
    <w:rsid w:val="06AA0E3B"/>
    <w:rsid w:val="06CA0176"/>
    <w:rsid w:val="072B7A21"/>
    <w:rsid w:val="07533BA7"/>
    <w:rsid w:val="07614872"/>
    <w:rsid w:val="079528D4"/>
    <w:rsid w:val="079E5C2C"/>
    <w:rsid w:val="07B54D24"/>
    <w:rsid w:val="07BA233A"/>
    <w:rsid w:val="07BD4485"/>
    <w:rsid w:val="07D24117"/>
    <w:rsid w:val="0808579C"/>
    <w:rsid w:val="080F6B2A"/>
    <w:rsid w:val="081163FE"/>
    <w:rsid w:val="081D5FCD"/>
    <w:rsid w:val="083D3697"/>
    <w:rsid w:val="0865499C"/>
    <w:rsid w:val="087C398E"/>
    <w:rsid w:val="087F5A5E"/>
    <w:rsid w:val="0898788E"/>
    <w:rsid w:val="08AC4379"/>
    <w:rsid w:val="08AF32E7"/>
    <w:rsid w:val="08B17BE1"/>
    <w:rsid w:val="08EE4992"/>
    <w:rsid w:val="09012718"/>
    <w:rsid w:val="091A3536"/>
    <w:rsid w:val="09265ED9"/>
    <w:rsid w:val="0992356F"/>
    <w:rsid w:val="09A80FE4"/>
    <w:rsid w:val="09C63218"/>
    <w:rsid w:val="09D516AE"/>
    <w:rsid w:val="09F00295"/>
    <w:rsid w:val="0AD96F7B"/>
    <w:rsid w:val="0AE840B8"/>
    <w:rsid w:val="0AFB3396"/>
    <w:rsid w:val="0B344073"/>
    <w:rsid w:val="0B701C95"/>
    <w:rsid w:val="0B813690"/>
    <w:rsid w:val="0B925AA8"/>
    <w:rsid w:val="0BB833C8"/>
    <w:rsid w:val="0C14538C"/>
    <w:rsid w:val="0C164418"/>
    <w:rsid w:val="0C442D54"/>
    <w:rsid w:val="0C623CBF"/>
    <w:rsid w:val="0C867D45"/>
    <w:rsid w:val="0C90521B"/>
    <w:rsid w:val="0CB033E0"/>
    <w:rsid w:val="0CBB4B8B"/>
    <w:rsid w:val="0CD30E01"/>
    <w:rsid w:val="0CEC18EB"/>
    <w:rsid w:val="0CFA48FA"/>
    <w:rsid w:val="0D18022F"/>
    <w:rsid w:val="0D587C47"/>
    <w:rsid w:val="0D86163D"/>
    <w:rsid w:val="0DBF4AD2"/>
    <w:rsid w:val="0DC10E7C"/>
    <w:rsid w:val="0E452158"/>
    <w:rsid w:val="0E6D45AA"/>
    <w:rsid w:val="0EC95E9D"/>
    <w:rsid w:val="0F8F2E14"/>
    <w:rsid w:val="0FAB7138"/>
    <w:rsid w:val="0FD552C5"/>
    <w:rsid w:val="0FDD471B"/>
    <w:rsid w:val="0FE60171"/>
    <w:rsid w:val="0FED59A3"/>
    <w:rsid w:val="102A2753"/>
    <w:rsid w:val="1048543C"/>
    <w:rsid w:val="10A31A35"/>
    <w:rsid w:val="10C11545"/>
    <w:rsid w:val="10CA5CE4"/>
    <w:rsid w:val="10EA0134"/>
    <w:rsid w:val="10EE19D3"/>
    <w:rsid w:val="11030570"/>
    <w:rsid w:val="110E3E23"/>
    <w:rsid w:val="111E393A"/>
    <w:rsid w:val="113867AA"/>
    <w:rsid w:val="1153368C"/>
    <w:rsid w:val="11632F92"/>
    <w:rsid w:val="117F4F8B"/>
    <w:rsid w:val="119D51A7"/>
    <w:rsid w:val="11B05EF1"/>
    <w:rsid w:val="11B15073"/>
    <w:rsid w:val="11E22BBA"/>
    <w:rsid w:val="11E64458"/>
    <w:rsid w:val="12154D3D"/>
    <w:rsid w:val="12744159"/>
    <w:rsid w:val="1280210E"/>
    <w:rsid w:val="1288550F"/>
    <w:rsid w:val="128B17C9"/>
    <w:rsid w:val="128C061E"/>
    <w:rsid w:val="129E4BC1"/>
    <w:rsid w:val="12AD5287"/>
    <w:rsid w:val="130F410E"/>
    <w:rsid w:val="13103164"/>
    <w:rsid w:val="131E2317"/>
    <w:rsid w:val="132A4118"/>
    <w:rsid w:val="13645F7C"/>
    <w:rsid w:val="136C6BDF"/>
    <w:rsid w:val="13925F12"/>
    <w:rsid w:val="13F11372"/>
    <w:rsid w:val="141D612B"/>
    <w:rsid w:val="147B5380"/>
    <w:rsid w:val="14CD0960"/>
    <w:rsid w:val="15081EFD"/>
    <w:rsid w:val="154B3CDA"/>
    <w:rsid w:val="154D1D4E"/>
    <w:rsid w:val="15632DB8"/>
    <w:rsid w:val="156C55BC"/>
    <w:rsid w:val="159348F7"/>
    <w:rsid w:val="15B50E15"/>
    <w:rsid w:val="15E2587E"/>
    <w:rsid w:val="16135A37"/>
    <w:rsid w:val="163065E9"/>
    <w:rsid w:val="16975463"/>
    <w:rsid w:val="16A66C2A"/>
    <w:rsid w:val="16A82624"/>
    <w:rsid w:val="16AB2114"/>
    <w:rsid w:val="16B4634E"/>
    <w:rsid w:val="16E8217F"/>
    <w:rsid w:val="17017F86"/>
    <w:rsid w:val="172D2AB2"/>
    <w:rsid w:val="17426643"/>
    <w:rsid w:val="17716EB9"/>
    <w:rsid w:val="17B2302E"/>
    <w:rsid w:val="17B5270A"/>
    <w:rsid w:val="17BB37BF"/>
    <w:rsid w:val="17BD5C5B"/>
    <w:rsid w:val="17C942A7"/>
    <w:rsid w:val="17EE19EF"/>
    <w:rsid w:val="181235D5"/>
    <w:rsid w:val="185313E1"/>
    <w:rsid w:val="18704BC5"/>
    <w:rsid w:val="18BC1C96"/>
    <w:rsid w:val="18E04FBB"/>
    <w:rsid w:val="18E52DA4"/>
    <w:rsid w:val="192A5572"/>
    <w:rsid w:val="196D4505"/>
    <w:rsid w:val="19904341"/>
    <w:rsid w:val="199A6213"/>
    <w:rsid w:val="19C1513A"/>
    <w:rsid w:val="19F733EB"/>
    <w:rsid w:val="19FA13E8"/>
    <w:rsid w:val="1A1737CC"/>
    <w:rsid w:val="1A1A55E6"/>
    <w:rsid w:val="1A611856"/>
    <w:rsid w:val="1A7F18ED"/>
    <w:rsid w:val="1A840CB2"/>
    <w:rsid w:val="1AA551D6"/>
    <w:rsid w:val="1AAE5081"/>
    <w:rsid w:val="1ABC044C"/>
    <w:rsid w:val="1AC87290"/>
    <w:rsid w:val="1AD0580E"/>
    <w:rsid w:val="1AE33872"/>
    <w:rsid w:val="1AE7254E"/>
    <w:rsid w:val="1AF75928"/>
    <w:rsid w:val="1B1069E9"/>
    <w:rsid w:val="1B23671D"/>
    <w:rsid w:val="1B2F50C2"/>
    <w:rsid w:val="1B7A3E63"/>
    <w:rsid w:val="1BCF41AF"/>
    <w:rsid w:val="1C616770"/>
    <w:rsid w:val="1C677FB4"/>
    <w:rsid w:val="1C6C7C4F"/>
    <w:rsid w:val="1D1A3B4F"/>
    <w:rsid w:val="1D376F7C"/>
    <w:rsid w:val="1D537B9A"/>
    <w:rsid w:val="1D567B89"/>
    <w:rsid w:val="1D65301C"/>
    <w:rsid w:val="1D7F7514"/>
    <w:rsid w:val="1DA93325"/>
    <w:rsid w:val="1DD45AAC"/>
    <w:rsid w:val="1DDA29CB"/>
    <w:rsid w:val="1DDE15BA"/>
    <w:rsid w:val="1E016762"/>
    <w:rsid w:val="1E116D00"/>
    <w:rsid w:val="1EAE27A1"/>
    <w:rsid w:val="1EDF0158"/>
    <w:rsid w:val="1EE933C2"/>
    <w:rsid w:val="1EF9468F"/>
    <w:rsid w:val="1F0706B7"/>
    <w:rsid w:val="1F2667DB"/>
    <w:rsid w:val="1F2A7F71"/>
    <w:rsid w:val="1F985B43"/>
    <w:rsid w:val="1FE85C96"/>
    <w:rsid w:val="2020147D"/>
    <w:rsid w:val="20270A5D"/>
    <w:rsid w:val="203F5CE6"/>
    <w:rsid w:val="205E3C5D"/>
    <w:rsid w:val="20B6593D"/>
    <w:rsid w:val="20BB1D43"/>
    <w:rsid w:val="20BE1DAA"/>
    <w:rsid w:val="20D02EA3"/>
    <w:rsid w:val="20D123FF"/>
    <w:rsid w:val="20E0270D"/>
    <w:rsid w:val="2130161E"/>
    <w:rsid w:val="21676523"/>
    <w:rsid w:val="21711C44"/>
    <w:rsid w:val="218F6BFE"/>
    <w:rsid w:val="21D342CD"/>
    <w:rsid w:val="21F03580"/>
    <w:rsid w:val="22485648"/>
    <w:rsid w:val="226A4C31"/>
    <w:rsid w:val="227D2BB6"/>
    <w:rsid w:val="22BF31CF"/>
    <w:rsid w:val="22D022CB"/>
    <w:rsid w:val="23096C36"/>
    <w:rsid w:val="232E5C5F"/>
    <w:rsid w:val="236B6EB3"/>
    <w:rsid w:val="23B45989"/>
    <w:rsid w:val="23EC5091"/>
    <w:rsid w:val="2409047A"/>
    <w:rsid w:val="24991C37"/>
    <w:rsid w:val="24AF2DCF"/>
    <w:rsid w:val="24D665AE"/>
    <w:rsid w:val="250C0222"/>
    <w:rsid w:val="256C2A6E"/>
    <w:rsid w:val="25835B4C"/>
    <w:rsid w:val="25873D4C"/>
    <w:rsid w:val="25962FB1"/>
    <w:rsid w:val="25B8414C"/>
    <w:rsid w:val="26320004"/>
    <w:rsid w:val="26906C30"/>
    <w:rsid w:val="26D06940"/>
    <w:rsid w:val="26DE3F04"/>
    <w:rsid w:val="27201D62"/>
    <w:rsid w:val="272C0707"/>
    <w:rsid w:val="27565784"/>
    <w:rsid w:val="276F4A98"/>
    <w:rsid w:val="278C73F8"/>
    <w:rsid w:val="27947E52"/>
    <w:rsid w:val="28355CE1"/>
    <w:rsid w:val="28757E4D"/>
    <w:rsid w:val="28856053"/>
    <w:rsid w:val="28926C90"/>
    <w:rsid w:val="28AF3E5E"/>
    <w:rsid w:val="291160AF"/>
    <w:rsid w:val="291678C1"/>
    <w:rsid w:val="2984482A"/>
    <w:rsid w:val="299F78B6"/>
    <w:rsid w:val="29B82494"/>
    <w:rsid w:val="29D84B76"/>
    <w:rsid w:val="29ED651D"/>
    <w:rsid w:val="29F3375E"/>
    <w:rsid w:val="29F51284"/>
    <w:rsid w:val="2A013479"/>
    <w:rsid w:val="2A3F2ACD"/>
    <w:rsid w:val="2A5E2AC5"/>
    <w:rsid w:val="2A6E7289"/>
    <w:rsid w:val="2A8070EB"/>
    <w:rsid w:val="2AA133D9"/>
    <w:rsid w:val="2AAA262F"/>
    <w:rsid w:val="2ABC7D1B"/>
    <w:rsid w:val="2B275DB5"/>
    <w:rsid w:val="2B680293"/>
    <w:rsid w:val="2BE32265"/>
    <w:rsid w:val="2BF043F9"/>
    <w:rsid w:val="2BFE34FA"/>
    <w:rsid w:val="2C581258"/>
    <w:rsid w:val="2C6C5C1D"/>
    <w:rsid w:val="2CAA1220"/>
    <w:rsid w:val="2CCA7B2C"/>
    <w:rsid w:val="2D085772"/>
    <w:rsid w:val="2D4411FA"/>
    <w:rsid w:val="2D46629B"/>
    <w:rsid w:val="2D5639C1"/>
    <w:rsid w:val="2D8A2DEE"/>
    <w:rsid w:val="2D911BB8"/>
    <w:rsid w:val="2D996C9F"/>
    <w:rsid w:val="2DD9710F"/>
    <w:rsid w:val="2DDF209A"/>
    <w:rsid w:val="2DF31F7F"/>
    <w:rsid w:val="2DFB0E33"/>
    <w:rsid w:val="2E0028ED"/>
    <w:rsid w:val="2E1E430F"/>
    <w:rsid w:val="2E2A5C54"/>
    <w:rsid w:val="2E513149"/>
    <w:rsid w:val="2E5E6E62"/>
    <w:rsid w:val="2E7C6418"/>
    <w:rsid w:val="2ECD0A22"/>
    <w:rsid w:val="2ED37CE6"/>
    <w:rsid w:val="2EF06BB9"/>
    <w:rsid w:val="2EFA17A5"/>
    <w:rsid w:val="2F0401BB"/>
    <w:rsid w:val="2F0D0235"/>
    <w:rsid w:val="2F592DDC"/>
    <w:rsid w:val="2FA23C5C"/>
    <w:rsid w:val="2FE54300"/>
    <w:rsid w:val="302C616A"/>
    <w:rsid w:val="30467C1B"/>
    <w:rsid w:val="306405FB"/>
    <w:rsid w:val="30640F12"/>
    <w:rsid w:val="30894D74"/>
    <w:rsid w:val="308A51B6"/>
    <w:rsid w:val="30B109E6"/>
    <w:rsid w:val="30B31E99"/>
    <w:rsid w:val="30D657C3"/>
    <w:rsid w:val="312A13CB"/>
    <w:rsid w:val="313342D7"/>
    <w:rsid w:val="31C558E6"/>
    <w:rsid w:val="31D9148B"/>
    <w:rsid w:val="31E87920"/>
    <w:rsid w:val="320E3A23"/>
    <w:rsid w:val="3234700A"/>
    <w:rsid w:val="32482271"/>
    <w:rsid w:val="326A628C"/>
    <w:rsid w:val="32E620B2"/>
    <w:rsid w:val="32EC072C"/>
    <w:rsid w:val="32EC3E09"/>
    <w:rsid w:val="32FE11A1"/>
    <w:rsid w:val="331704BD"/>
    <w:rsid w:val="333948D8"/>
    <w:rsid w:val="335F2639"/>
    <w:rsid w:val="33792F26"/>
    <w:rsid w:val="339715FE"/>
    <w:rsid w:val="33A61841"/>
    <w:rsid w:val="33D53A30"/>
    <w:rsid w:val="33D740F0"/>
    <w:rsid w:val="341E7629"/>
    <w:rsid w:val="34270BD4"/>
    <w:rsid w:val="342E7EA4"/>
    <w:rsid w:val="344554FB"/>
    <w:rsid w:val="34773964"/>
    <w:rsid w:val="3499425D"/>
    <w:rsid w:val="34CB66B6"/>
    <w:rsid w:val="351A4295"/>
    <w:rsid w:val="354D0AE7"/>
    <w:rsid w:val="35517724"/>
    <w:rsid w:val="35B46CD0"/>
    <w:rsid w:val="36371DF8"/>
    <w:rsid w:val="36497887"/>
    <w:rsid w:val="36687924"/>
    <w:rsid w:val="367C18FA"/>
    <w:rsid w:val="367C48AF"/>
    <w:rsid w:val="369F793E"/>
    <w:rsid w:val="36C941C4"/>
    <w:rsid w:val="36E03367"/>
    <w:rsid w:val="36FB1360"/>
    <w:rsid w:val="3709636F"/>
    <w:rsid w:val="37621F23"/>
    <w:rsid w:val="378400EB"/>
    <w:rsid w:val="37973B47"/>
    <w:rsid w:val="38481119"/>
    <w:rsid w:val="384E21D1"/>
    <w:rsid w:val="38826D01"/>
    <w:rsid w:val="38BB5D8F"/>
    <w:rsid w:val="38E269C1"/>
    <w:rsid w:val="390037A2"/>
    <w:rsid w:val="39096AFA"/>
    <w:rsid w:val="392D6EEB"/>
    <w:rsid w:val="394C656B"/>
    <w:rsid w:val="397F3F36"/>
    <w:rsid w:val="398E3343"/>
    <w:rsid w:val="3995213C"/>
    <w:rsid w:val="39A03024"/>
    <w:rsid w:val="39B6796F"/>
    <w:rsid w:val="39F14EE6"/>
    <w:rsid w:val="39F26607"/>
    <w:rsid w:val="39F41225"/>
    <w:rsid w:val="3A683CF4"/>
    <w:rsid w:val="3A6A181A"/>
    <w:rsid w:val="3A731F37"/>
    <w:rsid w:val="3A8D0599"/>
    <w:rsid w:val="3AC424D9"/>
    <w:rsid w:val="3AD64A77"/>
    <w:rsid w:val="3AFD61EB"/>
    <w:rsid w:val="3B4E0B43"/>
    <w:rsid w:val="3BC27434"/>
    <w:rsid w:val="3C257F0F"/>
    <w:rsid w:val="3C2D6B47"/>
    <w:rsid w:val="3C6B187A"/>
    <w:rsid w:val="3CD20F75"/>
    <w:rsid w:val="3CFF5492"/>
    <w:rsid w:val="3D891FB8"/>
    <w:rsid w:val="3D9310E9"/>
    <w:rsid w:val="3DBF1E7D"/>
    <w:rsid w:val="3E000CBB"/>
    <w:rsid w:val="3E1325B2"/>
    <w:rsid w:val="3E3C7041"/>
    <w:rsid w:val="3E565CBB"/>
    <w:rsid w:val="3E65258A"/>
    <w:rsid w:val="3E682515"/>
    <w:rsid w:val="3E7240BB"/>
    <w:rsid w:val="3E727785"/>
    <w:rsid w:val="3E9926CE"/>
    <w:rsid w:val="3EB37434"/>
    <w:rsid w:val="3EC244C3"/>
    <w:rsid w:val="3EEB27FE"/>
    <w:rsid w:val="3F544847"/>
    <w:rsid w:val="3F621040"/>
    <w:rsid w:val="3F6B457D"/>
    <w:rsid w:val="3F9C2D79"/>
    <w:rsid w:val="3FAF4101"/>
    <w:rsid w:val="3FB97C73"/>
    <w:rsid w:val="3FC546C9"/>
    <w:rsid w:val="3FC714BD"/>
    <w:rsid w:val="3FC76DC7"/>
    <w:rsid w:val="3FDF4421"/>
    <w:rsid w:val="3FF57DD8"/>
    <w:rsid w:val="3FFE4AD6"/>
    <w:rsid w:val="4009739C"/>
    <w:rsid w:val="400E2C48"/>
    <w:rsid w:val="402425DB"/>
    <w:rsid w:val="402517AD"/>
    <w:rsid w:val="402971CE"/>
    <w:rsid w:val="403946FA"/>
    <w:rsid w:val="407C3434"/>
    <w:rsid w:val="407E12AC"/>
    <w:rsid w:val="407E7726"/>
    <w:rsid w:val="409C52D0"/>
    <w:rsid w:val="40BB2DD0"/>
    <w:rsid w:val="40C1308E"/>
    <w:rsid w:val="40C22D59"/>
    <w:rsid w:val="40C559FD"/>
    <w:rsid w:val="40DE086C"/>
    <w:rsid w:val="40F25072"/>
    <w:rsid w:val="40F41E3E"/>
    <w:rsid w:val="41032081"/>
    <w:rsid w:val="41214BFD"/>
    <w:rsid w:val="414B4EA4"/>
    <w:rsid w:val="415154E2"/>
    <w:rsid w:val="41684C15"/>
    <w:rsid w:val="4182391A"/>
    <w:rsid w:val="418D18E7"/>
    <w:rsid w:val="41CE08E1"/>
    <w:rsid w:val="41F262EA"/>
    <w:rsid w:val="426E5C20"/>
    <w:rsid w:val="42707BEA"/>
    <w:rsid w:val="42A77A75"/>
    <w:rsid w:val="42BA70B7"/>
    <w:rsid w:val="43086074"/>
    <w:rsid w:val="431230BE"/>
    <w:rsid w:val="43663B9B"/>
    <w:rsid w:val="43882D11"/>
    <w:rsid w:val="43B41D58"/>
    <w:rsid w:val="43B71FC6"/>
    <w:rsid w:val="43C648F9"/>
    <w:rsid w:val="43EDE99D"/>
    <w:rsid w:val="4420119C"/>
    <w:rsid w:val="44A80627"/>
    <w:rsid w:val="44D7548F"/>
    <w:rsid w:val="44DC50C3"/>
    <w:rsid w:val="455455A1"/>
    <w:rsid w:val="45A9182E"/>
    <w:rsid w:val="45C106FD"/>
    <w:rsid w:val="45EC3FA7"/>
    <w:rsid w:val="46202E05"/>
    <w:rsid w:val="46335ADE"/>
    <w:rsid w:val="4647727E"/>
    <w:rsid w:val="465C342C"/>
    <w:rsid w:val="46AC31BB"/>
    <w:rsid w:val="46AF39E8"/>
    <w:rsid w:val="46C6427C"/>
    <w:rsid w:val="4701608D"/>
    <w:rsid w:val="470346E3"/>
    <w:rsid w:val="472965B9"/>
    <w:rsid w:val="474D09D4"/>
    <w:rsid w:val="47A4774C"/>
    <w:rsid w:val="47B405A7"/>
    <w:rsid w:val="480A1605"/>
    <w:rsid w:val="481E59F2"/>
    <w:rsid w:val="483E7E42"/>
    <w:rsid w:val="4844755E"/>
    <w:rsid w:val="484A2C8B"/>
    <w:rsid w:val="485649A4"/>
    <w:rsid w:val="48677399"/>
    <w:rsid w:val="489C1779"/>
    <w:rsid w:val="492359B6"/>
    <w:rsid w:val="494D2A33"/>
    <w:rsid w:val="49553C15"/>
    <w:rsid w:val="49753D38"/>
    <w:rsid w:val="49980296"/>
    <w:rsid w:val="499E1048"/>
    <w:rsid w:val="49C12AD9"/>
    <w:rsid w:val="49DA2F55"/>
    <w:rsid w:val="49DF281A"/>
    <w:rsid w:val="4A2F6535"/>
    <w:rsid w:val="4A5161BC"/>
    <w:rsid w:val="4A9410BE"/>
    <w:rsid w:val="4AD14F7B"/>
    <w:rsid w:val="4B1D26CA"/>
    <w:rsid w:val="4B707BE9"/>
    <w:rsid w:val="4B9754A2"/>
    <w:rsid w:val="4BE807F1"/>
    <w:rsid w:val="4C7E73A7"/>
    <w:rsid w:val="4C9E5354"/>
    <w:rsid w:val="4CA51888"/>
    <w:rsid w:val="4CB84535"/>
    <w:rsid w:val="4CF65190"/>
    <w:rsid w:val="4D183358"/>
    <w:rsid w:val="4D185106"/>
    <w:rsid w:val="4D2E2B7B"/>
    <w:rsid w:val="4D331F40"/>
    <w:rsid w:val="4D846E33"/>
    <w:rsid w:val="4DC56317"/>
    <w:rsid w:val="4DE60D60"/>
    <w:rsid w:val="4DF50257"/>
    <w:rsid w:val="4E084FD4"/>
    <w:rsid w:val="4E2D62A4"/>
    <w:rsid w:val="4E4C150B"/>
    <w:rsid w:val="4E5B34FC"/>
    <w:rsid w:val="4E9E08ED"/>
    <w:rsid w:val="4EAE5D27"/>
    <w:rsid w:val="4EB470B0"/>
    <w:rsid w:val="4EDA0247"/>
    <w:rsid w:val="4EE74D90"/>
    <w:rsid w:val="4EFE032C"/>
    <w:rsid w:val="4F2C4E99"/>
    <w:rsid w:val="4F6F3E3C"/>
    <w:rsid w:val="4F833932"/>
    <w:rsid w:val="4FAA2B19"/>
    <w:rsid w:val="4FDC241B"/>
    <w:rsid w:val="50454464"/>
    <w:rsid w:val="504B57F2"/>
    <w:rsid w:val="505D7BA8"/>
    <w:rsid w:val="505E72D4"/>
    <w:rsid w:val="5079410E"/>
    <w:rsid w:val="5080549C"/>
    <w:rsid w:val="50C46DB8"/>
    <w:rsid w:val="50EA4F66"/>
    <w:rsid w:val="510B2FB7"/>
    <w:rsid w:val="5133638B"/>
    <w:rsid w:val="515E50B1"/>
    <w:rsid w:val="515F2967"/>
    <w:rsid w:val="516E1798"/>
    <w:rsid w:val="51796AEB"/>
    <w:rsid w:val="517A4407"/>
    <w:rsid w:val="51C13FBE"/>
    <w:rsid w:val="51E84BA2"/>
    <w:rsid w:val="51F53752"/>
    <w:rsid w:val="52192B0A"/>
    <w:rsid w:val="521C50D3"/>
    <w:rsid w:val="5221680B"/>
    <w:rsid w:val="522F7C05"/>
    <w:rsid w:val="52465D87"/>
    <w:rsid w:val="52507F1B"/>
    <w:rsid w:val="52597B47"/>
    <w:rsid w:val="527F18BD"/>
    <w:rsid w:val="528D5C4E"/>
    <w:rsid w:val="52C131AC"/>
    <w:rsid w:val="52ED06DF"/>
    <w:rsid w:val="52F45CCD"/>
    <w:rsid w:val="5302488E"/>
    <w:rsid w:val="536E5A80"/>
    <w:rsid w:val="5388027B"/>
    <w:rsid w:val="53A9723E"/>
    <w:rsid w:val="540A5703"/>
    <w:rsid w:val="54753AF6"/>
    <w:rsid w:val="54882B71"/>
    <w:rsid w:val="551408A9"/>
    <w:rsid w:val="55284354"/>
    <w:rsid w:val="553B4087"/>
    <w:rsid w:val="554271C4"/>
    <w:rsid w:val="55A7171D"/>
    <w:rsid w:val="55A82D9F"/>
    <w:rsid w:val="55D13776"/>
    <w:rsid w:val="55E95892"/>
    <w:rsid w:val="55FD30EB"/>
    <w:rsid w:val="563413CB"/>
    <w:rsid w:val="564156CE"/>
    <w:rsid w:val="56610F0F"/>
    <w:rsid w:val="568023CE"/>
    <w:rsid w:val="56D334A1"/>
    <w:rsid w:val="56E147BB"/>
    <w:rsid w:val="571132F2"/>
    <w:rsid w:val="579932E7"/>
    <w:rsid w:val="579E08FE"/>
    <w:rsid w:val="579E1F9C"/>
    <w:rsid w:val="57AB4B38"/>
    <w:rsid w:val="57B41A8A"/>
    <w:rsid w:val="57D379A3"/>
    <w:rsid w:val="57F73FEF"/>
    <w:rsid w:val="57FECAC2"/>
    <w:rsid w:val="58160494"/>
    <w:rsid w:val="5846521D"/>
    <w:rsid w:val="58900246"/>
    <w:rsid w:val="58975A79"/>
    <w:rsid w:val="58D565A1"/>
    <w:rsid w:val="58DC669E"/>
    <w:rsid w:val="58E95BA9"/>
    <w:rsid w:val="590B476E"/>
    <w:rsid w:val="59513E7A"/>
    <w:rsid w:val="59611BE3"/>
    <w:rsid w:val="597D4B8B"/>
    <w:rsid w:val="59D37398"/>
    <w:rsid w:val="5A0233C6"/>
    <w:rsid w:val="5A025174"/>
    <w:rsid w:val="5A036AF8"/>
    <w:rsid w:val="5A4412E8"/>
    <w:rsid w:val="5A5D05FC"/>
    <w:rsid w:val="5A5F4374"/>
    <w:rsid w:val="5ABFCA98"/>
    <w:rsid w:val="5AC643F3"/>
    <w:rsid w:val="5AF30F60"/>
    <w:rsid w:val="5B3E21DC"/>
    <w:rsid w:val="5B4728E6"/>
    <w:rsid w:val="5B5A2D8E"/>
    <w:rsid w:val="5B5C08B4"/>
    <w:rsid w:val="5B5E17A0"/>
    <w:rsid w:val="5B7472FC"/>
    <w:rsid w:val="5B9B762E"/>
    <w:rsid w:val="5B9C33A6"/>
    <w:rsid w:val="5BE03293"/>
    <w:rsid w:val="5BE72873"/>
    <w:rsid w:val="5BF301CB"/>
    <w:rsid w:val="5BFB3C44"/>
    <w:rsid w:val="5C1D0043"/>
    <w:rsid w:val="5C206036"/>
    <w:rsid w:val="5C2C3CDA"/>
    <w:rsid w:val="5C436EB7"/>
    <w:rsid w:val="5CAE15E3"/>
    <w:rsid w:val="5CD23AD3"/>
    <w:rsid w:val="5CDD5A24"/>
    <w:rsid w:val="5CEC7F6C"/>
    <w:rsid w:val="5CF039A9"/>
    <w:rsid w:val="5D1A4582"/>
    <w:rsid w:val="5D213B63"/>
    <w:rsid w:val="5D3D1A52"/>
    <w:rsid w:val="5DCA41FA"/>
    <w:rsid w:val="5DDC70C1"/>
    <w:rsid w:val="5DDD20BF"/>
    <w:rsid w:val="5DEA7DBC"/>
    <w:rsid w:val="5DF9063C"/>
    <w:rsid w:val="5E0A7867"/>
    <w:rsid w:val="5E225DE5"/>
    <w:rsid w:val="5E631F59"/>
    <w:rsid w:val="5E940CDB"/>
    <w:rsid w:val="5E954808"/>
    <w:rsid w:val="5EBD5B0D"/>
    <w:rsid w:val="5EF62DCD"/>
    <w:rsid w:val="5F1D6841"/>
    <w:rsid w:val="5F2B2A77"/>
    <w:rsid w:val="5F2D78CE"/>
    <w:rsid w:val="5F543368"/>
    <w:rsid w:val="5F7A57AC"/>
    <w:rsid w:val="5F7F6228"/>
    <w:rsid w:val="5F925E99"/>
    <w:rsid w:val="5F9A6161"/>
    <w:rsid w:val="5FB698C7"/>
    <w:rsid w:val="5FBB029F"/>
    <w:rsid w:val="5FBC5DC5"/>
    <w:rsid w:val="5FDA52FD"/>
    <w:rsid w:val="600532C8"/>
    <w:rsid w:val="60082DB8"/>
    <w:rsid w:val="601479AF"/>
    <w:rsid w:val="6031230F"/>
    <w:rsid w:val="605E0C2A"/>
    <w:rsid w:val="606C01E4"/>
    <w:rsid w:val="60732927"/>
    <w:rsid w:val="60801391"/>
    <w:rsid w:val="60CF38D6"/>
    <w:rsid w:val="60FA4DF7"/>
    <w:rsid w:val="611901C8"/>
    <w:rsid w:val="614442C4"/>
    <w:rsid w:val="614B5652"/>
    <w:rsid w:val="619D173C"/>
    <w:rsid w:val="61B64B12"/>
    <w:rsid w:val="61BC078B"/>
    <w:rsid w:val="61BD393C"/>
    <w:rsid w:val="61C176C2"/>
    <w:rsid w:val="62387012"/>
    <w:rsid w:val="62481B92"/>
    <w:rsid w:val="62593ED4"/>
    <w:rsid w:val="62A44AED"/>
    <w:rsid w:val="62B67BFC"/>
    <w:rsid w:val="62C3746A"/>
    <w:rsid w:val="63107875"/>
    <w:rsid w:val="633D6F97"/>
    <w:rsid w:val="63417E63"/>
    <w:rsid w:val="63714BFB"/>
    <w:rsid w:val="637C13C3"/>
    <w:rsid w:val="63B3128D"/>
    <w:rsid w:val="63BF2B8C"/>
    <w:rsid w:val="63EE16DC"/>
    <w:rsid w:val="63F20007"/>
    <w:rsid w:val="63FF0976"/>
    <w:rsid w:val="641066DF"/>
    <w:rsid w:val="642A77A1"/>
    <w:rsid w:val="6434213E"/>
    <w:rsid w:val="645111D2"/>
    <w:rsid w:val="645934C6"/>
    <w:rsid w:val="648B3FB8"/>
    <w:rsid w:val="64CB7839"/>
    <w:rsid w:val="654A5C21"/>
    <w:rsid w:val="654B56D4"/>
    <w:rsid w:val="655820EC"/>
    <w:rsid w:val="656534C9"/>
    <w:rsid w:val="65A46960"/>
    <w:rsid w:val="65ED4F2A"/>
    <w:rsid w:val="65F666B1"/>
    <w:rsid w:val="66262575"/>
    <w:rsid w:val="666F7F45"/>
    <w:rsid w:val="669435F8"/>
    <w:rsid w:val="66A21CEA"/>
    <w:rsid w:val="66C6403A"/>
    <w:rsid w:val="66E77BCB"/>
    <w:rsid w:val="66F17C23"/>
    <w:rsid w:val="67072B18"/>
    <w:rsid w:val="67080A19"/>
    <w:rsid w:val="6709514F"/>
    <w:rsid w:val="67154035"/>
    <w:rsid w:val="673F7A07"/>
    <w:rsid w:val="674520EC"/>
    <w:rsid w:val="674F751F"/>
    <w:rsid w:val="67851192"/>
    <w:rsid w:val="678B49FB"/>
    <w:rsid w:val="679D07B4"/>
    <w:rsid w:val="67FB3D8A"/>
    <w:rsid w:val="683E0616"/>
    <w:rsid w:val="68723029"/>
    <w:rsid w:val="68766C28"/>
    <w:rsid w:val="687D4651"/>
    <w:rsid w:val="689A26D6"/>
    <w:rsid w:val="68CA50AF"/>
    <w:rsid w:val="69117181"/>
    <w:rsid w:val="692A3D9F"/>
    <w:rsid w:val="693D1D24"/>
    <w:rsid w:val="696E18D7"/>
    <w:rsid w:val="69833733"/>
    <w:rsid w:val="69D00DEB"/>
    <w:rsid w:val="69F148BD"/>
    <w:rsid w:val="6A03326E"/>
    <w:rsid w:val="6A1F6DC4"/>
    <w:rsid w:val="6A2720C1"/>
    <w:rsid w:val="6A3F1672"/>
    <w:rsid w:val="6A4436E3"/>
    <w:rsid w:val="6A5E4CC7"/>
    <w:rsid w:val="6AA41BBD"/>
    <w:rsid w:val="6AB0311C"/>
    <w:rsid w:val="6AEFC230"/>
    <w:rsid w:val="6B225676"/>
    <w:rsid w:val="6B2D7B77"/>
    <w:rsid w:val="6B4218B2"/>
    <w:rsid w:val="6B6E5571"/>
    <w:rsid w:val="6BA73DCD"/>
    <w:rsid w:val="6BAE515B"/>
    <w:rsid w:val="6BBF9D1B"/>
    <w:rsid w:val="6BD571AA"/>
    <w:rsid w:val="6BF752F5"/>
    <w:rsid w:val="6C150D37"/>
    <w:rsid w:val="6C21592D"/>
    <w:rsid w:val="6C417D7E"/>
    <w:rsid w:val="6C7402DA"/>
    <w:rsid w:val="6CB72B31"/>
    <w:rsid w:val="6CB73B9C"/>
    <w:rsid w:val="6CCB3AEB"/>
    <w:rsid w:val="6CDF2EA4"/>
    <w:rsid w:val="6CFA617E"/>
    <w:rsid w:val="6D6C0914"/>
    <w:rsid w:val="6D747CDF"/>
    <w:rsid w:val="6DA32FCD"/>
    <w:rsid w:val="6DBD1686"/>
    <w:rsid w:val="6DE265FC"/>
    <w:rsid w:val="6DFE7BE5"/>
    <w:rsid w:val="6E2510C9"/>
    <w:rsid w:val="6E2A65EF"/>
    <w:rsid w:val="6E504106"/>
    <w:rsid w:val="6E5B31EF"/>
    <w:rsid w:val="6E5E7A40"/>
    <w:rsid w:val="6E6715F2"/>
    <w:rsid w:val="6F06705D"/>
    <w:rsid w:val="6F092829"/>
    <w:rsid w:val="6F4436E1"/>
    <w:rsid w:val="6F9D3C0B"/>
    <w:rsid w:val="6FB048AE"/>
    <w:rsid w:val="6FCF1787"/>
    <w:rsid w:val="70221C74"/>
    <w:rsid w:val="703E5F69"/>
    <w:rsid w:val="70450E43"/>
    <w:rsid w:val="70710506"/>
    <w:rsid w:val="708459B4"/>
    <w:rsid w:val="70BC6305"/>
    <w:rsid w:val="70C66AA3"/>
    <w:rsid w:val="70C745CA"/>
    <w:rsid w:val="70D2369A"/>
    <w:rsid w:val="711A5A94"/>
    <w:rsid w:val="713F512E"/>
    <w:rsid w:val="7148570A"/>
    <w:rsid w:val="714A1482"/>
    <w:rsid w:val="71732999"/>
    <w:rsid w:val="71930B83"/>
    <w:rsid w:val="71C1726B"/>
    <w:rsid w:val="71CC7F7E"/>
    <w:rsid w:val="71EC73A5"/>
    <w:rsid w:val="720930EC"/>
    <w:rsid w:val="723E4955"/>
    <w:rsid w:val="72565C05"/>
    <w:rsid w:val="728269FA"/>
    <w:rsid w:val="72A10F1A"/>
    <w:rsid w:val="72A921D9"/>
    <w:rsid w:val="72A92A5D"/>
    <w:rsid w:val="72AC1CC9"/>
    <w:rsid w:val="72AF4F68"/>
    <w:rsid w:val="72C62D8B"/>
    <w:rsid w:val="72D66881"/>
    <w:rsid w:val="72E43211"/>
    <w:rsid w:val="72F46E1E"/>
    <w:rsid w:val="730647AA"/>
    <w:rsid w:val="730E49E8"/>
    <w:rsid w:val="73445DCB"/>
    <w:rsid w:val="737A5923"/>
    <w:rsid w:val="739015EB"/>
    <w:rsid w:val="739A5FC5"/>
    <w:rsid w:val="73CA398E"/>
    <w:rsid w:val="73D03795"/>
    <w:rsid w:val="73E358C7"/>
    <w:rsid w:val="73EF4563"/>
    <w:rsid w:val="74025143"/>
    <w:rsid w:val="749F1AE5"/>
    <w:rsid w:val="74E27C24"/>
    <w:rsid w:val="75292E35"/>
    <w:rsid w:val="756E14B8"/>
    <w:rsid w:val="757445DC"/>
    <w:rsid w:val="757A60AE"/>
    <w:rsid w:val="75A82C1C"/>
    <w:rsid w:val="75DF0FFB"/>
    <w:rsid w:val="75F13A43"/>
    <w:rsid w:val="75F32104"/>
    <w:rsid w:val="7601057E"/>
    <w:rsid w:val="763A16BC"/>
    <w:rsid w:val="765608C9"/>
    <w:rsid w:val="768E1E11"/>
    <w:rsid w:val="769A6A08"/>
    <w:rsid w:val="76E121E0"/>
    <w:rsid w:val="770C0F88"/>
    <w:rsid w:val="77297BEC"/>
    <w:rsid w:val="776B2153"/>
    <w:rsid w:val="7777870D"/>
    <w:rsid w:val="777C9A87"/>
    <w:rsid w:val="77810F70"/>
    <w:rsid w:val="77A15B74"/>
    <w:rsid w:val="77CD4BBB"/>
    <w:rsid w:val="77F71C38"/>
    <w:rsid w:val="78090FA8"/>
    <w:rsid w:val="780F6F82"/>
    <w:rsid w:val="78126A72"/>
    <w:rsid w:val="785030F6"/>
    <w:rsid w:val="786E7BCB"/>
    <w:rsid w:val="78782D79"/>
    <w:rsid w:val="787966D5"/>
    <w:rsid w:val="787D213D"/>
    <w:rsid w:val="78B813C8"/>
    <w:rsid w:val="78B83176"/>
    <w:rsid w:val="78FD502C"/>
    <w:rsid w:val="78FE9DAD"/>
    <w:rsid w:val="790D10CA"/>
    <w:rsid w:val="793242EA"/>
    <w:rsid w:val="79C142AC"/>
    <w:rsid w:val="79CD4BFB"/>
    <w:rsid w:val="79D17237"/>
    <w:rsid w:val="79E32FE5"/>
    <w:rsid w:val="7A09541A"/>
    <w:rsid w:val="7A3727C0"/>
    <w:rsid w:val="7A831561"/>
    <w:rsid w:val="7A8D418E"/>
    <w:rsid w:val="7ACF4BC8"/>
    <w:rsid w:val="7AEA338E"/>
    <w:rsid w:val="7AF13167"/>
    <w:rsid w:val="7AF64429"/>
    <w:rsid w:val="7AF846E1"/>
    <w:rsid w:val="7B06709B"/>
    <w:rsid w:val="7B0C1557"/>
    <w:rsid w:val="7B424F78"/>
    <w:rsid w:val="7B4E7DC1"/>
    <w:rsid w:val="7B902188"/>
    <w:rsid w:val="7BC6204D"/>
    <w:rsid w:val="7BD302C6"/>
    <w:rsid w:val="7BD55DED"/>
    <w:rsid w:val="7BF22E42"/>
    <w:rsid w:val="7C78468C"/>
    <w:rsid w:val="7CB73744"/>
    <w:rsid w:val="7CDA7DA0"/>
    <w:rsid w:val="7D012C11"/>
    <w:rsid w:val="7D1B0177"/>
    <w:rsid w:val="7D6A6A08"/>
    <w:rsid w:val="7D8B70AB"/>
    <w:rsid w:val="7DBB2146"/>
    <w:rsid w:val="7DD7E88C"/>
    <w:rsid w:val="7E2E4BEA"/>
    <w:rsid w:val="7E682F48"/>
    <w:rsid w:val="7E75623E"/>
    <w:rsid w:val="7E7E09BD"/>
    <w:rsid w:val="7E9ECF52"/>
    <w:rsid w:val="7EADD710"/>
    <w:rsid w:val="7EB76F6D"/>
    <w:rsid w:val="7EB91B5C"/>
    <w:rsid w:val="7EF17A1B"/>
    <w:rsid w:val="7EFBDA6D"/>
    <w:rsid w:val="7F1B26B0"/>
    <w:rsid w:val="7F250E39"/>
    <w:rsid w:val="7F2E199C"/>
    <w:rsid w:val="7F2F1CB8"/>
    <w:rsid w:val="7F4C5EB5"/>
    <w:rsid w:val="7F67047A"/>
    <w:rsid w:val="7F835703"/>
    <w:rsid w:val="7F85072D"/>
    <w:rsid w:val="7F9E25CB"/>
    <w:rsid w:val="7FBF4804"/>
    <w:rsid w:val="7FBF9941"/>
    <w:rsid w:val="7FD7C0E5"/>
    <w:rsid w:val="7FE64A6C"/>
    <w:rsid w:val="7FE66697"/>
    <w:rsid w:val="9AB7F93A"/>
    <w:rsid w:val="B86F961D"/>
    <w:rsid w:val="BADDC2D6"/>
    <w:rsid w:val="BADECE79"/>
    <w:rsid w:val="BBD303EE"/>
    <w:rsid w:val="C7AE2DD3"/>
    <w:rsid w:val="CE390793"/>
    <w:rsid w:val="D2FDBCBF"/>
    <w:rsid w:val="DCFFD6DC"/>
    <w:rsid w:val="DFB78C1A"/>
    <w:rsid w:val="DFDC9E14"/>
    <w:rsid w:val="DFF6C951"/>
    <w:rsid w:val="DFFEB51A"/>
    <w:rsid w:val="EDA6145A"/>
    <w:rsid w:val="EF77E279"/>
    <w:rsid w:val="EFEF7488"/>
    <w:rsid w:val="F7ADDBDA"/>
    <w:rsid w:val="FAFF3BFD"/>
    <w:rsid w:val="FBBF3CFD"/>
    <w:rsid w:val="FBDBAD71"/>
    <w:rsid w:val="FE57DF38"/>
    <w:rsid w:val="FED23D55"/>
    <w:rsid w:val="FFDF3CDB"/>
    <w:rsid w:val="FFEE42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723" w:firstLineChars="200"/>
    </w:pPr>
    <w:rPr>
      <w:rFonts w:ascii="Times New Roman" w:hAnsi="Times New Roman" w:eastAsia="仿宋_GB2312" w:cstheme="minorBidi"/>
      <w:kern w:val="2"/>
      <w:sz w:val="32"/>
      <w:szCs w:val="22"/>
      <w:lang w:val="en-US" w:eastAsia="zh-CN" w:bidi="ar-SA"/>
    </w:rPr>
  </w:style>
  <w:style w:type="paragraph" w:styleId="5">
    <w:name w:val="heading 1"/>
    <w:basedOn w:val="1"/>
    <w:next w:val="1"/>
    <w:link w:val="45"/>
    <w:qFormat/>
    <w:uiPriority w:val="9"/>
    <w:pPr>
      <w:keepNext/>
      <w:keepLines/>
      <w:spacing w:before="100" w:beforeLines="100" w:after="100" w:afterLines="100"/>
      <w:ind w:firstLine="0" w:firstLineChars="0"/>
      <w:jc w:val="center"/>
      <w:outlineLvl w:val="0"/>
    </w:pPr>
    <w:rPr>
      <w:rFonts w:eastAsia="华文中宋"/>
      <w:b/>
      <w:bCs/>
      <w:kern w:val="44"/>
      <w:sz w:val="36"/>
      <w:szCs w:val="44"/>
    </w:rPr>
  </w:style>
  <w:style w:type="paragraph" w:styleId="6">
    <w:name w:val="heading 2"/>
    <w:basedOn w:val="1"/>
    <w:next w:val="1"/>
    <w:link w:val="46"/>
    <w:unhideWhenUsed/>
    <w:qFormat/>
    <w:uiPriority w:val="9"/>
    <w:pPr>
      <w:keepNext/>
      <w:keepLines/>
      <w:ind w:firstLine="643"/>
      <w:outlineLvl w:val="1"/>
    </w:pPr>
    <w:rPr>
      <w:rFonts w:eastAsia="黑体" w:cstheme="majorBidi"/>
      <w:b/>
      <w:bCs/>
      <w:szCs w:val="32"/>
    </w:rPr>
  </w:style>
  <w:style w:type="paragraph" w:styleId="7">
    <w:name w:val="heading 3"/>
    <w:basedOn w:val="1"/>
    <w:next w:val="1"/>
    <w:link w:val="48"/>
    <w:unhideWhenUsed/>
    <w:qFormat/>
    <w:uiPriority w:val="9"/>
    <w:pPr>
      <w:keepNext/>
      <w:keepLines/>
      <w:ind w:firstLine="643"/>
      <w:outlineLvl w:val="2"/>
    </w:pPr>
    <w:rPr>
      <w:rFonts w:eastAsia="楷体_GB2312"/>
      <w:b/>
      <w:bCs/>
      <w:szCs w:val="32"/>
    </w:rPr>
  </w:style>
  <w:style w:type="paragraph" w:styleId="8">
    <w:name w:val="heading 4"/>
    <w:basedOn w:val="1"/>
    <w:next w:val="1"/>
    <w:link w:val="51"/>
    <w:unhideWhenUsed/>
    <w:qFormat/>
    <w:uiPriority w:val="9"/>
    <w:pPr>
      <w:keepNext/>
      <w:keepLines/>
      <w:ind w:firstLine="643" w:firstLineChars="0"/>
      <w:jc w:val="both"/>
      <w:outlineLvl w:val="3"/>
    </w:pPr>
    <w:rPr>
      <w:rFonts w:cs="Times New Roman"/>
      <w:b/>
      <w:bCs/>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next w:val="4"/>
    <w:qFormat/>
    <w:uiPriority w:val="0"/>
    <w:pPr>
      <w:ind w:firstLine="643"/>
      <w:jc w:val="both"/>
    </w:pPr>
    <w:rPr>
      <w:rFonts w:cs="Times New Roman"/>
      <w:szCs w:val="32"/>
    </w:rPr>
  </w:style>
  <w:style w:type="paragraph" w:styleId="4">
    <w:name w:val="toc 5"/>
    <w:basedOn w:val="1"/>
    <w:next w:val="1"/>
    <w:unhideWhenUsed/>
    <w:qFormat/>
    <w:uiPriority w:val="39"/>
    <w:pPr>
      <w:ind w:left="1680" w:leftChars="800"/>
    </w:pPr>
    <w:rPr>
      <w:rFonts w:asciiTheme="minorHAnsi" w:hAnsiTheme="minorHAnsi" w:eastAsiaTheme="minorEastAsia"/>
      <w:sz w:val="21"/>
      <w14:ligatures w14:val="standardContextual"/>
    </w:rPr>
  </w:style>
  <w:style w:type="paragraph" w:styleId="9">
    <w:name w:val="toc 7"/>
    <w:basedOn w:val="1"/>
    <w:next w:val="1"/>
    <w:unhideWhenUsed/>
    <w:qFormat/>
    <w:uiPriority w:val="39"/>
    <w:pPr>
      <w:ind w:left="2520" w:leftChars="1200"/>
    </w:pPr>
    <w:rPr>
      <w:rFonts w:asciiTheme="minorHAnsi" w:hAnsiTheme="minorHAnsi" w:eastAsiaTheme="minorEastAsia"/>
      <w:sz w:val="21"/>
      <w14:ligatures w14:val="standardContextual"/>
    </w:rPr>
  </w:style>
  <w:style w:type="paragraph" w:styleId="10">
    <w:name w:val="Normal Indent"/>
    <w:basedOn w:val="1"/>
    <w:next w:val="3"/>
    <w:qFormat/>
    <w:uiPriority w:val="99"/>
    <w:pPr>
      <w:ind w:firstLine="420"/>
    </w:pPr>
    <w:rPr>
      <w:rFonts w:ascii="宋体" w:hAnsi="宋体" w:cs="宋体"/>
      <w:sz w:val="24"/>
    </w:rPr>
  </w:style>
  <w:style w:type="paragraph" w:styleId="11">
    <w:name w:val="annotation text"/>
    <w:basedOn w:val="1"/>
    <w:link w:val="52"/>
    <w:unhideWhenUsed/>
    <w:qFormat/>
    <w:uiPriority w:val="99"/>
  </w:style>
  <w:style w:type="paragraph" w:styleId="12">
    <w:name w:val="Body Text Indent"/>
    <w:basedOn w:val="1"/>
    <w:next w:val="1"/>
    <w:qFormat/>
    <w:uiPriority w:val="0"/>
    <w:pPr>
      <w:spacing w:line="440" w:lineRule="exact"/>
      <w:ind w:firstLine="622"/>
    </w:pPr>
    <w:rPr>
      <w:rFonts w:eastAsia="宋体"/>
      <w:sz w:val="21"/>
    </w:rPr>
  </w:style>
  <w:style w:type="paragraph" w:styleId="13">
    <w:name w:val="toc 3"/>
    <w:basedOn w:val="1"/>
    <w:next w:val="1"/>
    <w:unhideWhenUsed/>
    <w:qFormat/>
    <w:uiPriority w:val="39"/>
    <w:pPr>
      <w:ind w:left="600" w:leftChars="600"/>
    </w:pPr>
    <w:rPr>
      <w:rFonts w:eastAsia="宋体"/>
      <w:sz w:val="24"/>
    </w:rPr>
  </w:style>
  <w:style w:type="paragraph" w:styleId="14">
    <w:name w:val="toc 8"/>
    <w:basedOn w:val="1"/>
    <w:next w:val="1"/>
    <w:unhideWhenUsed/>
    <w:qFormat/>
    <w:uiPriority w:val="39"/>
    <w:pPr>
      <w:ind w:left="2940" w:leftChars="1400"/>
    </w:pPr>
    <w:rPr>
      <w:rFonts w:asciiTheme="minorHAnsi" w:hAnsiTheme="minorHAnsi" w:eastAsiaTheme="minorEastAsia"/>
      <w:sz w:val="21"/>
      <w14:ligatures w14:val="standardContextual"/>
    </w:rPr>
  </w:style>
  <w:style w:type="paragraph" w:styleId="15">
    <w:name w:val="Balloon Text"/>
    <w:basedOn w:val="1"/>
    <w:link w:val="54"/>
    <w:semiHidden/>
    <w:unhideWhenUsed/>
    <w:qFormat/>
    <w:uiPriority w:val="99"/>
    <w:rPr>
      <w:sz w:val="18"/>
      <w:szCs w:val="18"/>
    </w:rPr>
  </w:style>
  <w:style w:type="paragraph" w:styleId="16">
    <w:name w:val="footer"/>
    <w:basedOn w:val="1"/>
    <w:link w:val="36"/>
    <w:unhideWhenUsed/>
    <w:qFormat/>
    <w:uiPriority w:val="99"/>
    <w:pPr>
      <w:tabs>
        <w:tab w:val="center" w:pos="4153"/>
        <w:tab w:val="right" w:pos="8306"/>
      </w:tabs>
      <w:snapToGrid w:val="0"/>
      <w:spacing w:line="360" w:lineRule="auto"/>
      <w:jc w:val="center"/>
    </w:pPr>
    <w:rPr>
      <w:rFonts w:eastAsia="Times New Roman"/>
      <w:sz w:val="18"/>
      <w:szCs w:val="18"/>
    </w:rPr>
  </w:style>
  <w:style w:type="paragraph" w:styleId="17">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tabs>
        <w:tab w:val="right" w:leader="dot" w:pos="8200"/>
        <w:tab w:val="right" w:leader="dot" w:pos="8306"/>
      </w:tabs>
      <w:spacing w:before="120" w:after="120" w:line="360" w:lineRule="auto"/>
      <w:ind w:left="200" w:leftChars="200" w:firstLine="0" w:firstLineChars="0"/>
      <w:jc w:val="distribute"/>
    </w:pPr>
    <w:rPr>
      <w:rFonts w:eastAsia="黑体" w:cs="Times New Roman"/>
      <w:sz w:val="30"/>
      <w:szCs w:val="30"/>
    </w:rPr>
  </w:style>
  <w:style w:type="paragraph" w:styleId="19">
    <w:name w:val="toc 4"/>
    <w:basedOn w:val="1"/>
    <w:next w:val="1"/>
    <w:unhideWhenUsed/>
    <w:qFormat/>
    <w:uiPriority w:val="39"/>
    <w:pPr>
      <w:ind w:left="1260" w:leftChars="600"/>
    </w:pPr>
    <w:rPr>
      <w:rFonts w:asciiTheme="minorHAnsi" w:hAnsiTheme="minorHAnsi" w:eastAsiaTheme="minorEastAsia"/>
      <w:sz w:val="21"/>
      <w14:ligatures w14:val="standardContextual"/>
    </w:rPr>
  </w:style>
  <w:style w:type="paragraph" w:styleId="20">
    <w:name w:val="Subtitle"/>
    <w:basedOn w:val="1"/>
    <w:next w:val="1"/>
    <w:link w:val="47"/>
    <w:qFormat/>
    <w:uiPriority w:val="11"/>
    <w:pPr>
      <w:spacing w:before="240" w:after="60" w:line="312" w:lineRule="auto"/>
      <w:jc w:val="center"/>
      <w:outlineLvl w:val="1"/>
    </w:pPr>
    <w:rPr>
      <w:rFonts w:asciiTheme="minorHAnsi" w:hAnsiTheme="minorHAnsi" w:eastAsiaTheme="minorEastAsia"/>
      <w:b/>
      <w:bCs/>
      <w:kern w:val="28"/>
      <w:szCs w:val="32"/>
    </w:rPr>
  </w:style>
  <w:style w:type="paragraph" w:styleId="21">
    <w:name w:val="footnote text"/>
    <w:basedOn w:val="1"/>
    <w:link w:val="59"/>
    <w:semiHidden/>
    <w:unhideWhenUsed/>
    <w:qFormat/>
    <w:uiPriority w:val="99"/>
    <w:pPr>
      <w:snapToGrid w:val="0"/>
    </w:pPr>
    <w:rPr>
      <w:sz w:val="18"/>
      <w:szCs w:val="18"/>
    </w:rPr>
  </w:style>
  <w:style w:type="paragraph" w:styleId="22">
    <w:name w:val="toc 6"/>
    <w:basedOn w:val="1"/>
    <w:next w:val="1"/>
    <w:unhideWhenUsed/>
    <w:qFormat/>
    <w:uiPriority w:val="39"/>
    <w:pPr>
      <w:ind w:left="2100" w:leftChars="1000"/>
    </w:pPr>
    <w:rPr>
      <w:rFonts w:asciiTheme="minorHAnsi" w:hAnsiTheme="minorHAnsi" w:eastAsiaTheme="minorEastAsia"/>
      <w:sz w:val="21"/>
      <w14:ligatures w14:val="standardContextual"/>
    </w:rPr>
  </w:style>
  <w:style w:type="paragraph" w:styleId="23">
    <w:name w:val="toc 2"/>
    <w:basedOn w:val="1"/>
    <w:next w:val="1"/>
    <w:unhideWhenUsed/>
    <w:qFormat/>
    <w:uiPriority w:val="39"/>
    <w:pPr>
      <w:tabs>
        <w:tab w:val="right" w:leader="dot" w:pos="8296"/>
      </w:tabs>
      <w:spacing w:line="520" w:lineRule="exact"/>
      <w:ind w:left="200" w:leftChars="200" w:firstLine="200"/>
    </w:pPr>
    <w:rPr>
      <w:rFonts w:eastAsia="楷体_GB2312"/>
      <w:sz w:val="28"/>
    </w:rPr>
  </w:style>
  <w:style w:type="paragraph" w:styleId="24">
    <w:name w:val="toc 9"/>
    <w:basedOn w:val="1"/>
    <w:next w:val="1"/>
    <w:unhideWhenUsed/>
    <w:qFormat/>
    <w:uiPriority w:val="39"/>
    <w:pPr>
      <w:ind w:left="3360" w:leftChars="1600"/>
    </w:pPr>
    <w:rPr>
      <w:rFonts w:asciiTheme="minorHAnsi" w:hAnsiTheme="minorHAnsi" w:eastAsiaTheme="minorEastAsia"/>
      <w:sz w:val="21"/>
      <w14:ligatures w14:val="standardContextual"/>
    </w:rPr>
  </w:style>
  <w:style w:type="paragraph" w:styleId="25">
    <w:name w:val="annotation subject"/>
    <w:basedOn w:val="11"/>
    <w:next w:val="11"/>
    <w:link w:val="53"/>
    <w:semiHidden/>
    <w:unhideWhenUsed/>
    <w:qFormat/>
    <w:uiPriority w:val="99"/>
    <w:rPr>
      <w:b/>
      <w:bCs/>
    </w:rPr>
  </w:style>
  <w:style w:type="paragraph" w:styleId="26">
    <w:name w:val="Body Text First Indent 2"/>
    <w:basedOn w:val="12"/>
    <w:next w:val="1"/>
    <w:qFormat/>
    <w:uiPriority w:val="0"/>
    <w:pPr>
      <w:spacing w:after="120" w:line="240" w:lineRule="auto"/>
      <w:ind w:left="420" w:leftChars="200" w:firstLine="420"/>
    </w:pPr>
    <w:rPr>
      <w:rFonts w:ascii="Calibri" w:hAnsi="Calibri"/>
      <w:szCs w:val="24"/>
    </w:rPr>
  </w:style>
  <w:style w:type="table" w:styleId="28">
    <w:name w:val="Table Grid"/>
    <w:basedOn w:val="27"/>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Hyperlink"/>
    <w:basedOn w:val="29"/>
    <w:unhideWhenUsed/>
    <w:qFormat/>
    <w:uiPriority w:val="99"/>
    <w:rPr>
      <w:color w:val="0563C1" w:themeColor="hyperlink"/>
      <w:u w:val="single"/>
      <w14:textFill>
        <w14:solidFill>
          <w14:schemeClr w14:val="hlink"/>
        </w14:solidFill>
      </w14:textFill>
    </w:rPr>
  </w:style>
  <w:style w:type="character" w:styleId="31">
    <w:name w:val="annotation reference"/>
    <w:basedOn w:val="29"/>
    <w:unhideWhenUsed/>
    <w:qFormat/>
    <w:uiPriority w:val="99"/>
    <w:rPr>
      <w:sz w:val="21"/>
      <w:szCs w:val="21"/>
    </w:rPr>
  </w:style>
  <w:style w:type="character" w:styleId="32">
    <w:name w:val="footnote reference"/>
    <w:basedOn w:val="29"/>
    <w:semiHidden/>
    <w:unhideWhenUsed/>
    <w:qFormat/>
    <w:uiPriority w:val="99"/>
    <w:rPr>
      <w:vertAlign w:val="superscript"/>
    </w:rPr>
  </w:style>
  <w:style w:type="paragraph" w:customStyle="1" w:styleId="33">
    <w:name w:val="Body Text First Indent_4899c0f3-26c5-47e4-9d22-09e58b41538f"/>
    <w:basedOn w:val="3"/>
    <w:qFormat/>
    <w:uiPriority w:val="0"/>
    <w:pPr>
      <w:ind w:firstLine="0" w:firstLineChars="0"/>
    </w:pPr>
  </w:style>
  <w:style w:type="paragraph" w:styleId="34">
    <w:name w:val="List Paragraph"/>
    <w:basedOn w:val="1"/>
    <w:qFormat/>
    <w:uiPriority w:val="34"/>
    <w:pPr>
      <w:ind w:firstLine="420"/>
    </w:pPr>
  </w:style>
  <w:style w:type="character" w:customStyle="1" w:styleId="35">
    <w:name w:val="页眉 Char"/>
    <w:basedOn w:val="29"/>
    <w:link w:val="17"/>
    <w:qFormat/>
    <w:uiPriority w:val="99"/>
    <w:rPr>
      <w:sz w:val="18"/>
      <w:szCs w:val="18"/>
    </w:rPr>
  </w:style>
  <w:style w:type="character" w:customStyle="1" w:styleId="36">
    <w:name w:val="页脚 Char"/>
    <w:basedOn w:val="29"/>
    <w:link w:val="16"/>
    <w:qFormat/>
    <w:uiPriority w:val="99"/>
    <w:rPr>
      <w:rFonts w:eastAsia="Times New Roman" w:cstheme="minorBidi"/>
      <w:kern w:val="2"/>
      <w:sz w:val="18"/>
      <w:szCs w:val="18"/>
    </w:rPr>
  </w:style>
  <w:style w:type="character" w:customStyle="1" w:styleId="37">
    <w:name w:val="font31"/>
    <w:basedOn w:val="29"/>
    <w:qFormat/>
    <w:uiPriority w:val="0"/>
    <w:rPr>
      <w:rFonts w:hint="eastAsia" w:ascii="宋体" w:hAnsi="宋体" w:eastAsia="宋体" w:cs="宋体"/>
      <w:color w:val="000000"/>
      <w:sz w:val="22"/>
      <w:szCs w:val="22"/>
      <w:u w:val="none"/>
    </w:rPr>
  </w:style>
  <w:style w:type="character" w:customStyle="1" w:styleId="38">
    <w:name w:val="font11"/>
    <w:basedOn w:val="29"/>
    <w:qFormat/>
    <w:uiPriority w:val="0"/>
    <w:rPr>
      <w:rFonts w:hint="default" w:ascii="Times New Roman" w:hAnsi="Times New Roman" w:cs="Times New Roman"/>
      <w:b/>
      <w:color w:val="000000"/>
      <w:sz w:val="21"/>
      <w:szCs w:val="21"/>
      <w:u w:val="none"/>
    </w:rPr>
  </w:style>
  <w:style w:type="character" w:customStyle="1" w:styleId="39">
    <w:name w:val="font51"/>
    <w:basedOn w:val="29"/>
    <w:qFormat/>
    <w:uiPriority w:val="0"/>
    <w:rPr>
      <w:rFonts w:hint="eastAsia" w:ascii="宋体" w:hAnsi="宋体" w:eastAsia="宋体" w:cs="宋体"/>
      <w:color w:val="000000"/>
      <w:sz w:val="22"/>
      <w:szCs w:val="22"/>
      <w:u w:val="none"/>
    </w:rPr>
  </w:style>
  <w:style w:type="character" w:customStyle="1" w:styleId="40">
    <w:name w:val="font01"/>
    <w:basedOn w:val="29"/>
    <w:qFormat/>
    <w:uiPriority w:val="0"/>
    <w:rPr>
      <w:rFonts w:hint="default" w:ascii="Times New Roman" w:hAnsi="Times New Roman" w:cs="Times New Roman"/>
      <w:b/>
      <w:color w:val="000000"/>
      <w:sz w:val="21"/>
      <w:szCs w:val="21"/>
      <w:u w:val="none"/>
      <w:vertAlign w:val="superscript"/>
    </w:rPr>
  </w:style>
  <w:style w:type="character" w:customStyle="1" w:styleId="41">
    <w:name w:val="font41"/>
    <w:basedOn w:val="29"/>
    <w:qFormat/>
    <w:uiPriority w:val="0"/>
    <w:rPr>
      <w:rFonts w:hint="eastAsia" w:ascii="仿宋" w:hAnsi="仿宋" w:eastAsia="仿宋" w:cs="仿宋"/>
      <w:b/>
      <w:color w:val="000000"/>
      <w:sz w:val="21"/>
      <w:szCs w:val="21"/>
      <w:u w:val="none"/>
    </w:rPr>
  </w:style>
  <w:style w:type="paragraph" w:customStyle="1" w:styleId="42">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43">
    <w:name w:val="标题1-章"/>
    <w:basedOn w:val="5"/>
    <w:link w:val="44"/>
    <w:qFormat/>
    <w:uiPriority w:val="0"/>
    <w:pPr>
      <w:spacing w:before="0" w:beforeLines="0" w:after="156" w:afterLines="50"/>
    </w:pPr>
    <w:rPr>
      <w:rFonts w:eastAsia="方正小标宋简体" w:cs="Times New Roman"/>
      <w:szCs w:val="32"/>
    </w:rPr>
  </w:style>
  <w:style w:type="character" w:customStyle="1" w:styleId="44">
    <w:name w:val="标题1-章 字符"/>
    <w:basedOn w:val="29"/>
    <w:link w:val="43"/>
    <w:qFormat/>
    <w:uiPriority w:val="0"/>
    <w:rPr>
      <w:rFonts w:eastAsia="方正小标宋简体"/>
      <w:b/>
      <w:bCs/>
      <w:kern w:val="44"/>
      <w:sz w:val="32"/>
      <w:szCs w:val="32"/>
    </w:rPr>
  </w:style>
  <w:style w:type="character" w:customStyle="1" w:styleId="45">
    <w:name w:val="标题 1 Char"/>
    <w:basedOn w:val="29"/>
    <w:link w:val="5"/>
    <w:qFormat/>
    <w:uiPriority w:val="9"/>
    <w:rPr>
      <w:rFonts w:eastAsia="华文中宋" w:cstheme="minorBidi"/>
      <w:b/>
      <w:bCs/>
      <w:kern w:val="44"/>
      <w:sz w:val="36"/>
      <w:szCs w:val="44"/>
    </w:rPr>
  </w:style>
  <w:style w:type="character" w:customStyle="1" w:styleId="46">
    <w:name w:val="标题 2 Char"/>
    <w:basedOn w:val="29"/>
    <w:link w:val="6"/>
    <w:qFormat/>
    <w:uiPriority w:val="9"/>
    <w:rPr>
      <w:rFonts w:ascii="Times New Roman" w:hAnsi="Times New Roman" w:eastAsia="黑体" w:cstheme="majorBidi"/>
      <w:b/>
      <w:bCs/>
      <w:sz w:val="32"/>
      <w:szCs w:val="32"/>
    </w:rPr>
  </w:style>
  <w:style w:type="character" w:customStyle="1" w:styleId="47">
    <w:name w:val="副标题 Char"/>
    <w:basedOn w:val="29"/>
    <w:link w:val="20"/>
    <w:qFormat/>
    <w:uiPriority w:val="11"/>
    <w:rPr>
      <w:b/>
      <w:bCs/>
      <w:kern w:val="28"/>
      <w:sz w:val="32"/>
      <w:szCs w:val="32"/>
    </w:rPr>
  </w:style>
  <w:style w:type="character" w:customStyle="1" w:styleId="48">
    <w:name w:val="标题 3 Char"/>
    <w:basedOn w:val="29"/>
    <w:link w:val="7"/>
    <w:qFormat/>
    <w:uiPriority w:val="9"/>
    <w:rPr>
      <w:rFonts w:eastAsia="楷体_GB2312" w:cstheme="minorBidi"/>
      <w:b/>
      <w:bCs/>
      <w:kern w:val="2"/>
      <w:sz w:val="32"/>
      <w:szCs w:val="32"/>
    </w:rPr>
  </w:style>
  <w:style w:type="paragraph" w:customStyle="1" w:styleId="49">
    <w:name w:val="TOC 标题1"/>
    <w:basedOn w:val="5"/>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character" w:customStyle="1" w:styleId="50">
    <w:name w:val="未处理的提及1"/>
    <w:basedOn w:val="29"/>
    <w:semiHidden/>
    <w:unhideWhenUsed/>
    <w:qFormat/>
    <w:uiPriority w:val="99"/>
    <w:rPr>
      <w:color w:val="605E5C"/>
      <w:shd w:val="clear" w:color="auto" w:fill="E1DFDD"/>
    </w:rPr>
  </w:style>
  <w:style w:type="character" w:customStyle="1" w:styleId="51">
    <w:name w:val="标题 4 Char"/>
    <w:basedOn w:val="29"/>
    <w:link w:val="8"/>
    <w:qFormat/>
    <w:uiPriority w:val="9"/>
    <w:rPr>
      <w:rFonts w:eastAsia="仿宋_GB2312"/>
      <w:b/>
      <w:bCs/>
      <w:kern w:val="2"/>
      <w:sz w:val="32"/>
      <w:szCs w:val="28"/>
    </w:rPr>
  </w:style>
  <w:style w:type="character" w:customStyle="1" w:styleId="52">
    <w:name w:val="批注文字 Char"/>
    <w:basedOn w:val="29"/>
    <w:link w:val="11"/>
    <w:qFormat/>
    <w:uiPriority w:val="99"/>
    <w:rPr>
      <w:rFonts w:ascii="Times New Roman" w:hAnsi="Times New Roman" w:eastAsia="仿宋_GB2312"/>
      <w:sz w:val="32"/>
    </w:rPr>
  </w:style>
  <w:style w:type="character" w:customStyle="1" w:styleId="53">
    <w:name w:val="批注主题 Char"/>
    <w:basedOn w:val="52"/>
    <w:link w:val="25"/>
    <w:semiHidden/>
    <w:qFormat/>
    <w:uiPriority w:val="99"/>
    <w:rPr>
      <w:rFonts w:ascii="Times New Roman" w:hAnsi="Times New Roman" w:eastAsia="仿宋_GB2312"/>
      <w:b/>
      <w:bCs/>
      <w:sz w:val="32"/>
    </w:rPr>
  </w:style>
  <w:style w:type="character" w:customStyle="1" w:styleId="54">
    <w:name w:val="批注框文本 Char"/>
    <w:basedOn w:val="29"/>
    <w:link w:val="15"/>
    <w:semiHidden/>
    <w:qFormat/>
    <w:uiPriority w:val="99"/>
    <w:rPr>
      <w:rFonts w:ascii="Times New Roman" w:hAnsi="Times New Roman" w:eastAsia="仿宋_GB2312"/>
      <w:sz w:val="18"/>
      <w:szCs w:val="18"/>
    </w:rPr>
  </w:style>
  <w:style w:type="paragraph" w:customStyle="1" w:styleId="55">
    <w:name w:val="WPSOffice手动目录 1"/>
    <w:qFormat/>
    <w:uiPriority w:val="0"/>
    <w:rPr>
      <w:rFonts w:ascii="Times New Roman" w:hAnsi="Times New Roman" w:eastAsia="宋体" w:cs="Times New Roman"/>
      <w:lang w:val="en-US" w:eastAsia="zh-CN" w:bidi="ar-SA"/>
    </w:rPr>
  </w:style>
  <w:style w:type="paragraph" w:customStyle="1" w:styleId="56">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7">
    <w:name w:val="font21"/>
    <w:basedOn w:val="29"/>
    <w:qFormat/>
    <w:uiPriority w:val="0"/>
    <w:rPr>
      <w:rFonts w:hint="default" w:ascii="Times New Roman" w:hAnsi="Times New Roman" w:cs="Times New Roman"/>
      <w:i/>
      <w:iCs/>
      <w:color w:val="000000"/>
      <w:sz w:val="21"/>
      <w:szCs w:val="21"/>
      <w:u w:val="none"/>
    </w:rPr>
  </w:style>
  <w:style w:type="paragraph" w:customStyle="1" w:styleId="58">
    <w:name w:val="修订2"/>
    <w:hidden/>
    <w:semiHidden/>
    <w:qFormat/>
    <w:uiPriority w:val="99"/>
    <w:rPr>
      <w:rFonts w:ascii="Times New Roman" w:hAnsi="Times New Roman" w:eastAsia="仿宋_GB2312" w:cstheme="minorBidi"/>
      <w:kern w:val="2"/>
      <w:sz w:val="32"/>
      <w:szCs w:val="22"/>
      <w:lang w:val="en-US" w:eastAsia="zh-CN" w:bidi="ar-SA"/>
    </w:rPr>
  </w:style>
  <w:style w:type="character" w:customStyle="1" w:styleId="59">
    <w:name w:val="脚注文本 Char"/>
    <w:basedOn w:val="29"/>
    <w:link w:val="21"/>
    <w:semiHidden/>
    <w:qFormat/>
    <w:uiPriority w:val="99"/>
    <w:rPr>
      <w:rFonts w:eastAsia="仿宋_GB2312" w:cstheme="minorBidi"/>
      <w:kern w:val="2"/>
      <w:sz w:val="18"/>
      <w:szCs w:val="18"/>
    </w:rPr>
  </w:style>
  <w:style w:type="paragraph" w:customStyle="1" w:styleId="60">
    <w:name w:val="BodyText"/>
    <w:basedOn w:val="1"/>
    <w:qFormat/>
    <w:uiPriority w:val="0"/>
    <w:pPr>
      <w:spacing w:line="580" w:lineRule="exact"/>
      <w:jc w:val="both"/>
      <w:textAlignment w:val="baseline"/>
    </w:pPr>
  </w:style>
  <w:style w:type="paragraph" w:customStyle="1" w:styleId="61">
    <w:name w:val="列出段落1"/>
    <w:basedOn w:val="1"/>
    <w:qFormat/>
    <w:uiPriority w:val="0"/>
    <w:pPr>
      <w:ind w:firstLine="420"/>
    </w:pPr>
    <w:rPr>
      <w:rFonts w:cs="Times New Roman"/>
    </w:rPr>
  </w:style>
  <w:style w:type="paragraph" w:customStyle="1" w:styleId="62">
    <w:name w:val="正文（缩进）"/>
    <w:basedOn w:val="1"/>
    <w:next w:val="1"/>
    <w:qFormat/>
    <w:uiPriority w:val="0"/>
    <w:pPr>
      <w:widowControl/>
      <w:spacing w:before="156" w:after="156"/>
      <w:jc w:val="left"/>
    </w:pPr>
    <w:rPr>
      <w:rFonts w:eastAsia="宋体"/>
      <w:kern w:val="0"/>
      <w:sz w:val="24"/>
    </w:rPr>
  </w:style>
  <w:style w:type="paragraph" w:customStyle="1" w:styleId="63">
    <w:name w:val="页脚1"/>
    <w:qFormat/>
    <w:uiPriority w:val="0"/>
    <w:pPr>
      <w:widowControl w:val="0"/>
      <w:tabs>
        <w:tab w:val="center" w:pos="4153"/>
        <w:tab w:val="right" w:pos="8306"/>
      </w:tabs>
      <w:suppressAutoHyphens/>
      <w:snapToGrid w:val="0"/>
      <w:spacing w:after="160" w:line="278" w:lineRule="auto"/>
    </w:pPr>
    <w:rPr>
      <w:rFonts w:ascii="Calibri" w:hAnsi="Calibri" w:eastAsia="宋体" w:cs="Times New Roman"/>
      <w:color w:val="000000"/>
      <w:kern w:val="2"/>
      <w:sz w:val="18"/>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76</Pages>
  <Words>2171</Words>
  <Characters>2363</Characters>
  <Lines>277</Lines>
  <Paragraphs>78</Paragraphs>
  <TotalTime>5</TotalTime>
  <ScaleCrop>false</ScaleCrop>
  <LinksUpToDate>false</LinksUpToDate>
  <CharactersWithSpaces>2564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2023-09-14T09:49:00Z</dcterms:created>
  <dc:creator>gexiaomin</dc:creator>
  <cp:lastModifiedBy>h</cp:lastModifiedBy>
  <cp:lastPrinted>2025-10-13T02:25:00Z</cp:lastPrinted>
  <dcterms:modified xsi:type="dcterms:W3CDTF">2025-10-14T04:10:51Z</dcterms:modified>
  <cp:revision>8112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D54A22AC9DA942EA98AA15C2FAECFD77_13</vt:lpwstr>
  </property>
  <property fmtid="{D5CDD505-2E9C-101B-9397-08002B2CF9AE}" pid="4" name="KSOTemplateDocerSaveRecord">
    <vt:lpwstr>eyJoZGlkIjoiY2ZkZTgzNWQ3N2JjNDJmM2FkNTY4MTAzZmNlYmYxYWYiLCJ1c2VySWQiOiI5OTMzNTExNTQifQ==</vt:lpwstr>
  </property>
</Properties>
</file>