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260"/>
        </w:tabs>
        <w:kinsoku/>
        <w:wordWrap/>
        <w:overflowPunct/>
        <w:topLinePunct w:val="0"/>
        <w:autoSpaceDE/>
        <w:autoSpaceDN/>
        <w:bidi w:val="0"/>
        <w:adjustRightInd/>
        <w:snapToGrid/>
        <w:spacing w:after="0" w:line="500" w:lineRule="exact"/>
        <w:ind w:firstLine="641"/>
        <w:jc w:val="center"/>
        <w:textAlignment w:val="auto"/>
        <w:outlineLvl w:val="9"/>
        <w:rPr>
          <w:rFonts w:ascii="黑体" w:hAnsi="Calibri" w:eastAsia="黑体" w:cs="Times New Roman"/>
          <w:b w:val="0"/>
          <w:bCs w:val="0"/>
          <w:kern w:val="0"/>
          <w:sz w:val="22"/>
          <w:szCs w:val="22"/>
          <w:lang w:eastAsia="en-US" w:bidi="ar-SA"/>
        </w:rPr>
      </w:pPr>
    </w:p>
    <w:p>
      <w:pPr>
        <w:keepNext w:val="0"/>
        <w:keepLines w:val="0"/>
        <w:pageBreakBefore w:val="0"/>
        <w:widowControl w:val="0"/>
        <w:tabs>
          <w:tab w:val="left" w:pos="7260"/>
        </w:tabs>
        <w:kinsoku/>
        <w:wordWrap/>
        <w:overflowPunct/>
        <w:topLinePunct w:val="0"/>
        <w:autoSpaceDE/>
        <w:autoSpaceDN/>
        <w:bidi w:val="0"/>
        <w:adjustRightInd/>
        <w:snapToGrid/>
        <w:spacing w:after="0" w:line="500" w:lineRule="exact"/>
        <w:ind w:firstLine="641"/>
        <w:jc w:val="center"/>
        <w:textAlignment w:val="auto"/>
        <w:outlineLvl w:val="9"/>
        <w:rPr>
          <w:rFonts w:ascii="黑体" w:hAnsi="Calibri" w:eastAsia="黑体" w:cs="Times New Roman"/>
          <w:b/>
          <w:bCs/>
          <w:kern w:val="0"/>
          <w:sz w:val="22"/>
          <w:szCs w:val="22"/>
          <w:lang w:eastAsia="en-US" w:bidi="ar-SA"/>
        </w:rPr>
      </w:pPr>
    </w:p>
    <w:p>
      <w:pPr>
        <w:keepNext w:val="0"/>
        <w:keepLines w:val="0"/>
        <w:pageBreakBefore w:val="0"/>
        <w:widowControl w:val="0"/>
        <w:tabs>
          <w:tab w:val="left" w:pos="7260"/>
        </w:tabs>
        <w:kinsoku/>
        <w:wordWrap/>
        <w:overflowPunct/>
        <w:topLinePunct w:val="0"/>
        <w:autoSpaceDE/>
        <w:autoSpaceDN/>
        <w:bidi w:val="0"/>
        <w:adjustRightInd/>
        <w:snapToGrid/>
        <w:spacing w:after="0" w:line="500" w:lineRule="exact"/>
        <w:ind w:firstLine="641"/>
        <w:jc w:val="center"/>
        <w:textAlignment w:val="auto"/>
        <w:outlineLvl w:val="9"/>
        <w:rPr>
          <w:rFonts w:ascii="黑体" w:hAnsi="Calibri" w:eastAsia="黑体" w:cs="Times New Roman"/>
          <w:b/>
          <w:bCs/>
          <w:kern w:val="0"/>
          <w:sz w:val="22"/>
          <w:szCs w:val="22"/>
          <w:lang w:eastAsia="en-US" w:bidi="ar-SA"/>
        </w:rPr>
      </w:pPr>
    </w:p>
    <w:p>
      <w:pPr>
        <w:keepNext w:val="0"/>
        <w:keepLines w:val="0"/>
        <w:pageBreakBefore w:val="0"/>
        <w:widowControl w:val="0"/>
        <w:tabs>
          <w:tab w:val="left" w:pos="7260"/>
        </w:tabs>
        <w:kinsoku/>
        <w:wordWrap/>
        <w:overflowPunct/>
        <w:topLinePunct w:val="0"/>
        <w:autoSpaceDE/>
        <w:autoSpaceDN/>
        <w:bidi w:val="0"/>
        <w:adjustRightInd/>
        <w:snapToGrid/>
        <w:spacing w:after="0" w:line="500" w:lineRule="exact"/>
        <w:ind w:firstLine="641"/>
        <w:jc w:val="center"/>
        <w:textAlignment w:val="auto"/>
        <w:outlineLvl w:val="9"/>
        <w:rPr>
          <w:rFonts w:ascii="黑体" w:hAnsi="Calibri" w:eastAsia="黑体" w:cs="Times New Roman"/>
          <w:b/>
          <w:bCs/>
          <w:kern w:val="0"/>
          <w:sz w:val="22"/>
          <w:szCs w:val="22"/>
          <w:lang w:eastAsia="en-US" w:bidi="ar-SA"/>
        </w:rPr>
      </w:pPr>
    </w:p>
    <w:p>
      <w:pPr>
        <w:keepNext w:val="0"/>
        <w:keepLines w:val="0"/>
        <w:pageBreakBefore w:val="0"/>
        <w:widowControl w:val="0"/>
        <w:tabs>
          <w:tab w:val="left" w:pos="7260"/>
        </w:tabs>
        <w:kinsoku/>
        <w:wordWrap/>
        <w:overflowPunct/>
        <w:topLinePunct w:val="0"/>
        <w:autoSpaceDE/>
        <w:autoSpaceDN/>
        <w:bidi w:val="0"/>
        <w:adjustRightInd/>
        <w:snapToGrid/>
        <w:spacing w:after="0" w:line="500" w:lineRule="exact"/>
        <w:ind w:firstLine="641"/>
        <w:jc w:val="center"/>
        <w:textAlignment w:val="auto"/>
        <w:outlineLvl w:val="9"/>
        <w:rPr>
          <w:rFonts w:ascii="黑体" w:hAnsi="Calibri" w:eastAsia="黑体" w:cs="Times New Roman"/>
          <w:b/>
          <w:bCs/>
          <w:kern w:val="0"/>
          <w:sz w:val="22"/>
          <w:szCs w:val="22"/>
          <w:lang w:eastAsia="en-US" w:bidi="ar-SA"/>
        </w:rPr>
      </w:pPr>
    </w:p>
    <w:p>
      <w:pPr>
        <w:keepNext w:val="0"/>
        <w:keepLines w:val="0"/>
        <w:pageBreakBefore w:val="0"/>
        <w:widowControl w:val="0"/>
        <w:tabs>
          <w:tab w:val="left" w:pos="7260"/>
        </w:tabs>
        <w:kinsoku/>
        <w:wordWrap/>
        <w:overflowPunct/>
        <w:topLinePunct w:val="0"/>
        <w:autoSpaceDE/>
        <w:autoSpaceDN/>
        <w:bidi w:val="0"/>
        <w:adjustRightInd/>
        <w:snapToGrid/>
        <w:spacing w:after="0" w:line="500" w:lineRule="exact"/>
        <w:ind w:firstLine="641"/>
        <w:jc w:val="center"/>
        <w:textAlignment w:val="auto"/>
        <w:outlineLvl w:val="9"/>
        <w:rPr>
          <w:rFonts w:ascii="黑体" w:hAnsi="Calibri" w:eastAsia="黑体" w:cs="Times New Roman"/>
          <w:b/>
          <w:bCs/>
          <w:kern w:val="0"/>
          <w:sz w:val="22"/>
          <w:szCs w:val="22"/>
          <w:lang w:eastAsia="en-US" w:bidi="ar-SA"/>
        </w:rPr>
      </w:pPr>
    </w:p>
    <w:p>
      <w:pPr>
        <w:keepNext w:val="0"/>
        <w:keepLines w:val="0"/>
        <w:pageBreakBefore w:val="0"/>
        <w:widowControl w:val="0"/>
        <w:tabs>
          <w:tab w:val="left" w:pos="7260"/>
        </w:tabs>
        <w:kinsoku/>
        <w:wordWrap/>
        <w:overflowPunct/>
        <w:topLinePunct w:val="0"/>
        <w:autoSpaceDE/>
        <w:autoSpaceDN/>
        <w:bidi w:val="0"/>
        <w:adjustRightInd/>
        <w:snapToGrid/>
        <w:spacing w:after="0" w:line="500" w:lineRule="exact"/>
        <w:ind w:firstLine="641"/>
        <w:jc w:val="center"/>
        <w:textAlignment w:val="auto"/>
        <w:outlineLvl w:val="9"/>
        <w:rPr>
          <w:rFonts w:ascii="黑体" w:hAnsi="Calibri" w:eastAsia="黑体" w:cs="Times New Roman"/>
          <w:b/>
          <w:bCs/>
          <w:kern w:val="0"/>
          <w:sz w:val="22"/>
          <w:szCs w:val="22"/>
          <w:lang w:eastAsia="en-US" w:bidi="ar-SA"/>
        </w:rPr>
      </w:pPr>
    </w:p>
    <w:p>
      <w:pPr>
        <w:keepNext w:val="0"/>
        <w:keepLines w:val="0"/>
        <w:pageBreakBefore w:val="0"/>
        <w:widowControl w:val="0"/>
        <w:tabs>
          <w:tab w:val="left" w:pos="7260"/>
        </w:tabs>
        <w:kinsoku/>
        <w:wordWrap/>
        <w:overflowPunct/>
        <w:topLinePunct w:val="0"/>
        <w:autoSpaceDE/>
        <w:autoSpaceDN/>
        <w:bidi w:val="0"/>
        <w:adjustRightInd/>
        <w:snapToGrid/>
        <w:spacing w:after="0" w:line="500" w:lineRule="exact"/>
        <w:ind w:firstLine="641"/>
        <w:jc w:val="center"/>
        <w:textAlignment w:val="auto"/>
        <w:outlineLvl w:val="9"/>
        <w:rPr>
          <w:rFonts w:ascii="黑体" w:hAnsi="Calibri" w:eastAsia="黑体" w:cs="Times New Roman"/>
          <w:b/>
          <w:bCs/>
          <w:kern w:val="0"/>
          <w:sz w:val="22"/>
          <w:szCs w:val="22"/>
          <w:lang w:eastAsia="en-US" w:bidi="ar-SA"/>
        </w:rPr>
      </w:pPr>
    </w:p>
    <w:p>
      <w:pPr>
        <w:widowControl w:val="0"/>
        <w:tabs>
          <w:tab w:val="left" w:pos="7260"/>
        </w:tabs>
        <w:spacing w:after="200" w:line="640" w:lineRule="exact"/>
        <w:jc w:val="center"/>
        <w:rPr>
          <w:rFonts w:hint="eastAsia" w:ascii="仿宋_GB2312" w:hAnsi="Calibri" w:eastAsia="仿宋_GB2312" w:cs="Times New Roman"/>
          <w:b w:val="0"/>
          <w:bCs/>
          <w:kern w:val="0"/>
          <w:sz w:val="32"/>
          <w:szCs w:val="32"/>
          <w:lang w:val="en-US" w:eastAsia="zh-CN" w:bidi="ar-SA"/>
        </w:rPr>
      </w:pPr>
      <w:r>
        <w:rPr>
          <w:rFonts w:hint="eastAsia" w:ascii="仿宋_GB2312" w:hAnsi="Calibri" w:eastAsia="仿宋_GB2312" w:cs="Times New Roman"/>
          <w:b w:val="0"/>
          <w:bCs/>
          <w:kern w:val="0"/>
          <w:sz w:val="32"/>
          <w:szCs w:val="32"/>
          <w:lang w:eastAsia="en-US" w:bidi="ar-SA"/>
        </w:rPr>
        <w:t>武环管〔</w:t>
      </w:r>
      <w:r>
        <w:rPr>
          <w:rFonts w:ascii="仿宋_GB2312" w:hAnsi="Calibri" w:eastAsia="仿宋_GB2312" w:cs="Times New Roman"/>
          <w:b w:val="0"/>
          <w:bCs/>
          <w:kern w:val="0"/>
          <w:sz w:val="32"/>
          <w:szCs w:val="32"/>
          <w:lang w:eastAsia="en-US" w:bidi="ar-SA"/>
        </w:rPr>
        <w:t>20</w:t>
      </w:r>
      <w:r>
        <w:rPr>
          <w:rFonts w:ascii="仿宋_GB2312" w:hAnsi="Calibri" w:eastAsia="仿宋_GB2312" w:cs="Times New Roman"/>
          <w:b w:val="0"/>
          <w:bCs/>
          <w:kern w:val="0"/>
          <w:sz w:val="32"/>
          <w:szCs w:val="32"/>
          <w:lang w:val="en-US" w:eastAsia="en-US" w:bidi="ar-SA"/>
        </w:rPr>
        <w:t>20</w:t>
      </w:r>
      <w:r>
        <w:rPr>
          <w:rFonts w:hint="eastAsia" w:ascii="仿宋_GB2312" w:hAnsi="Calibri" w:eastAsia="仿宋_GB2312" w:cs="Times New Roman"/>
          <w:b w:val="0"/>
          <w:bCs/>
          <w:kern w:val="0"/>
          <w:sz w:val="32"/>
          <w:szCs w:val="32"/>
          <w:lang w:eastAsia="en-US" w:bidi="ar-SA"/>
        </w:rPr>
        <w:t>〕</w:t>
      </w:r>
      <w:r>
        <w:rPr>
          <w:rFonts w:hint="eastAsia" w:ascii="仿宋_GB2312" w:eastAsia="仿宋_GB2312" w:cs="Times New Roman"/>
          <w:b w:val="0"/>
          <w:bCs/>
          <w:kern w:val="0"/>
          <w:sz w:val="32"/>
          <w:szCs w:val="32"/>
          <w:lang w:val="en-US" w:eastAsia="zh-CN" w:bidi="ar-SA"/>
        </w:rPr>
        <w:t>108号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b/>
          <w:sz w:val="40"/>
          <w:szCs w:val="40"/>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b/>
          <w:sz w:val="40"/>
          <w:szCs w:val="40"/>
        </w:rPr>
      </w:pPr>
    </w:p>
    <w:p>
      <w:pPr>
        <w:spacing w:line="580" w:lineRule="exact"/>
        <w:jc w:val="center"/>
        <w:rPr>
          <w:rFonts w:hint="eastAsia" w:ascii="方正小标宋简体" w:hAnsi="方正小标宋简体" w:eastAsia="方正小标宋简体" w:cs="方正小标宋简体"/>
          <w:b/>
          <w:bCs/>
          <w:color w:val="000000"/>
          <w:spacing w:val="-6"/>
          <w:sz w:val="42"/>
          <w:szCs w:val="42"/>
        </w:rPr>
      </w:pPr>
      <w:r>
        <w:rPr>
          <w:rFonts w:hint="eastAsia" w:ascii="方正小标宋简体" w:hAnsi="方正小标宋简体" w:eastAsia="方正小标宋简体" w:cs="方正小标宋简体"/>
          <w:b/>
          <w:bCs/>
          <w:color w:val="000000"/>
          <w:spacing w:val="-6"/>
          <w:sz w:val="42"/>
          <w:szCs w:val="42"/>
        </w:rPr>
        <w:t>市生态环境局关于武汉创盛环保科技有限公司</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bCs/>
          <w:color w:val="000000"/>
          <w:sz w:val="42"/>
          <w:szCs w:val="42"/>
        </w:rPr>
      </w:pPr>
      <w:r>
        <w:rPr>
          <w:rFonts w:hint="eastAsia" w:ascii="方正小标宋简体" w:hAnsi="方正小标宋简体" w:eastAsia="方正小标宋简体" w:cs="方正小标宋简体"/>
          <w:b/>
          <w:bCs/>
          <w:color w:val="000000"/>
          <w:spacing w:val="-6"/>
          <w:sz w:val="42"/>
          <w:szCs w:val="42"/>
        </w:rPr>
        <w:t>危险废物处置项目</w:t>
      </w:r>
      <w:r>
        <w:rPr>
          <w:rFonts w:hint="eastAsia" w:ascii="方正小标宋简体" w:hAnsi="方正小标宋简体" w:eastAsia="方正小标宋简体" w:cs="方正小标宋简体"/>
          <w:b/>
          <w:bCs/>
          <w:color w:val="000000"/>
          <w:sz w:val="42"/>
          <w:szCs w:val="42"/>
        </w:rPr>
        <w:t>环境影响报告书的批复</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 w:hAnsi="仿宋" w:eastAsia="仿宋"/>
          <w:b w:val="0"/>
          <w:bCs w:val="0"/>
          <w:color w:val="000000"/>
        </w:rPr>
      </w:pPr>
    </w:p>
    <w:p>
      <w:pPr>
        <w:keepNext w:val="0"/>
        <w:keepLines w:val="0"/>
        <w:pageBreakBefore w:val="0"/>
        <w:widowControl w:val="0"/>
        <w:kinsoku/>
        <w:wordWrap/>
        <w:overflowPunct/>
        <w:topLinePunct w:val="0"/>
        <w:autoSpaceDE/>
        <w:autoSpaceDN/>
        <w:bidi w:val="0"/>
        <w:adjustRightInd/>
        <w:snapToGrid/>
        <w:spacing w:line="510" w:lineRule="exact"/>
        <w:textAlignment w:val="auto"/>
        <w:rPr>
          <w:rFonts w:hint="eastAsia" w:ascii="仿宋" w:hAnsi="仿宋" w:eastAsia="仿宋"/>
          <w:b w:val="0"/>
          <w:bCs w:val="0"/>
          <w:color w:val="000000"/>
          <w:sz w:val="32"/>
          <w:szCs w:val="32"/>
        </w:rPr>
      </w:pPr>
      <w:r>
        <w:rPr>
          <w:rFonts w:hint="eastAsia" w:ascii="仿宋" w:hAnsi="仿宋" w:eastAsia="仿宋"/>
          <w:b w:val="0"/>
          <w:bCs w:val="0"/>
          <w:sz w:val="32"/>
          <w:szCs w:val="32"/>
        </w:rPr>
        <w:t>武汉创盛环保科技有限公司</w:t>
      </w:r>
      <w:r>
        <w:rPr>
          <w:rFonts w:hint="eastAsia" w:ascii="仿宋" w:hAnsi="仿宋" w:eastAsia="仿宋"/>
          <w:b w:val="0"/>
          <w:bC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b w:val="0"/>
          <w:bCs w:val="0"/>
          <w:color w:val="000000"/>
          <w:sz w:val="32"/>
          <w:szCs w:val="32"/>
        </w:rPr>
      </w:pPr>
      <w:r>
        <w:rPr>
          <w:rFonts w:hint="eastAsia" w:ascii="仿宋" w:hAnsi="仿宋" w:eastAsia="仿宋"/>
          <w:b w:val="0"/>
          <w:bCs w:val="0"/>
          <w:sz w:val="32"/>
          <w:szCs w:val="32"/>
        </w:rPr>
        <w:t>你公司报送的《武汉创盛环保科技有限公司危险废物处置项目环境影响报告书（报批本）》（以下简称《报告书》）及相关资料已收悉。经研究，现批复如下：</w:t>
      </w:r>
    </w:p>
    <w:p>
      <w:pPr>
        <w:keepNext w:val="0"/>
        <w:keepLines w:val="0"/>
        <w:pageBreakBefore w:val="0"/>
        <w:widowControl w:val="0"/>
        <w:kinsoku/>
        <w:wordWrap/>
        <w:overflowPunct/>
        <w:topLinePunct w:val="0"/>
        <w:autoSpaceDE/>
        <w:autoSpaceDN/>
        <w:bidi w:val="0"/>
        <w:adjustRightInd/>
        <w:snapToGrid/>
        <w:spacing w:line="510" w:lineRule="exact"/>
        <w:ind w:firstLine="616" w:firstLineChars="200"/>
        <w:textAlignment w:val="auto"/>
        <w:rPr>
          <w:rFonts w:hint="eastAsia" w:ascii="仿宋" w:hAnsi="仿宋" w:eastAsia="仿宋"/>
          <w:b w:val="0"/>
          <w:bCs w:val="0"/>
          <w:color w:val="000000"/>
          <w:spacing w:val="-6"/>
          <w:sz w:val="32"/>
          <w:szCs w:val="32"/>
        </w:rPr>
      </w:pPr>
      <w:r>
        <w:rPr>
          <w:rFonts w:hint="eastAsia" w:ascii="仿宋" w:hAnsi="仿宋" w:eastAsia="仿宋"/>
          <w:b w:val="0"/>
          <w:bCs w:val="0"/>
          <w:color w:val="000000"/>
          <w:spacing w:val="-6"/>
          <w:sz w:val="32"/>
          <w:szCs w:val="32"/>
        </w:rPr>
        <w:t>一、你公司拟投资300万</w:t>
      </w:r>
      <w:r>
        <w:rPr>
          <w:rFonts w:ascii="仿宋" w:hAnsi="仿宋" w:eastAsia="仿宋"/>
          <w:b w:val="0"/>
          <w:bCs w:val="0"/>
          <w:color w:val="000000"/>
          <w:spacing w:val="-6"/>
          <w:sz w:val="32"/>
          <w:szCs w:val="32"/>
        </w:rPr>
        <w:t>元</w:t>
      </w:r>
      <w:r>
        <w:rPr>
          <w:rFonts w:hint="eastAsia" w:ascii="仿宋" w:hAnsi="仿宋" w:eastAsia="仿宋"/>
          <w:b w:val="0"/>
          <w:bCs w:val="0"/>
          <w:color w:val="000000"/>
          <w:spacing w:val="-6"/>
          <w:sz w:val="32"/>
          <w:szCs w:val="32"/>
        </w:rPr>
        <w:t>，在武汉市新洲区阳逻经济开发区现有厂区内实施</w:t>
      </w:r>
      <w:r>
        <w:rPr>
          <w:rFonts w:hint="eastAsia" w:ascii="仿宋" w:hAnsi="仿宋" w:eastAsia="仿宋"/>
          <w:b w:val="0"/>
          <w:bCs w:val="0"/>
          <w:spacing w:val="-6"/>
          <w:sz w:val="32"/>
          <w:szCs w:val="32"/>
        </w:rPr>
        <w:t>危险废物处置项目</w:t>
      </w:r>
      <w:r>
        <w:rPr>
          <w:rFonts w:hint="eastAsia" w:ascii="仿宋" w:hAnsi="仿宋" w:eastAsia="仿宋"/>
          <w:b w:val="0"/>
          <w:bCs w:val="0"/>
          <w:color w:val="000000"/>
          <w:spacing w:val="-6"/>
          <w:sz w:val="32"/>
          <w:szCs w:val="32"/>
        </w:rPr>
        <w:t>（项目代码</w:t>
      </w:r>
      <w:r>
        <w:rPr>
          <w:rFonts w:ascii="仿宋" w:hAnsi="仿宋" w:eastAsia="仿宋"/>
          <w:b w:val="0"/>
          <w:bCs w:val="0"/>
          <w:color w:val="000000"/>
          <w:spacing w:val="-6"/>
          <w:sz w:val="32"/>
          <w:szCs w:val="32"/>
        </w:rPr>
        <w:t>20</w:t>
      </w:r>
      <w:r>
        <w:rPr>
          <w:rFonts w:hint="eastAsia" w:ascii="仿宋" w:hAnsi="仿宋" w:eastAsia="仿宋"/>
          <w:b w:val="0"/>
          <w:bCs w:val="0"/>
          <w:color w:val="000000"/>
          <w:spacing w:val="-6"/>
          <w:sz w:val="32"/>
          <w:szCs w:val="32"/>
        </w:rPr>
        <w:t>19</w:t>
      </w:r>
      <w:r>
        <w:rPr>
          <w:rFonts w:ascii="仿宋" w:hAnsi="仿宋" w:eastAsia="仿宋"/>
          <w:b w:val="0"/>
          <w:bCs w:val="0"/>
          <w:color w:val="000000"/>
          <w:spacing w:val="-6"/>
          <w:sz w:val="32"/>
          <w:szCs w:val="32"/>
        </w:rPr>
        <w:t>-4201</w:t>
      </w:r>
      <w:r>
        <w:rPr>
          <w:rFonts w:hint="eastAsia" w:ascii="仿宋" w:hAnsi="仿宋" w:eastAsia="仿宋"/>
          <w:b w:val="0"/>
          <w:bCs w:val="0"/>
          <w:color w:val="000000"/>
          <w:spacing w:val="-6"/>
          <w:sz w:val="32"/>
          <w:szCs w:val="32"/>
        </w:rPr>
        <w:t>17</w:t>
      </w:r>
      <w:r>
        <w:rPr>
          <w:rFonts w:ascii="仿宋" w:hAnsi="仿宋" w:eastAsia="仿宋"/>
          <w:b w:val="0"/>
          <w:bCs w:val="0"/>
          <w:color w:val="000000"/>
          <w:spacing w:val="-6"/>
          <w:sz w:val="32"/>
          <w:szCs w:val="32"/>
        </w:rPr>
        <w:t>-</w:t>
      </w:r>
      <w:r>
        <w:rPr>
          <w:rFonts w:hint="eastAsia" w:ascii="仿宋" w:hAnsi="仿宋" w:eastAsia="仿宋"/>
          <w:b w:val="0"/>
          <w:bCs w:val="0"/>
          <w:color w:val="000000"/>
          <w:spacing w:val="-6"/>
          <w:sz w:val="32"/>
          <w:szCs w:val="32"/>
        </w:rPr>
        <w:t>77</w:t>
      </w:r>
      <w:r>
        <w:rPr>
          <w:rFonts w:ascii="仿宋" w:hAnsi="仿宋" w:eastAsia="仿宋"/>
          <w:b w:val="0"/>
          <w:bCs w:val="0"/>
          <w:color w:val="000000"/>
          <w:spacing w:val="-6"/>
          <w:sz w:val="32"/>
          <w:szCs w:val="32"/>
        </w:rPr>
        <w:t>-0</w:t>
      </w:r>
      <w:r>
        <w:rPr>
          <w:rFonts w:hint="eastAsia" w:ascii="仿宋" w:hAnsi="仿宋" w:eastAsia="仿宋"/>
          <w:b w:val="0"/>
          <w:bCs w:val="0"/>
          <w:color w:val="000000"/>
          <w:spacing w:val="-6"/>
          <w:sz w:val="32"/>
          <w:szCs w:val="32"/>
        </w:rPr>
        <w:t>2</w:t>
      </w:r>
      <w:r>
        <w:rPr>
          <w:rFonts w:ascii="仿宋" w:hAnsi="仿宋" w:eastAsia="仿宋"/>
          <w:b w:val="0"/>
          <w:bCs w:val="0"/>
          <w:color w:val="000000"/>
          <w:spacing w:val="-6"/>
          <w:sz w:val="32"/>
          <w:szCs w:val="32"/>
        </w:rPr>
        <w:t>-</w:t>
      </w:r>
      <w:r>
        <w:rPr>
          <w:rFonts w:hint="eastAsia" w:ascii="仿宋" w:hAnsi="仿宋" w:eastAsia="仿宋"/>
          <w:b w:val="0"/>
          <w:bCs w:val="0"/>
          <w:color w:val="000000"/>
          <w:spacing w:val="-6"/>
          <w:sz w:val="32"/>
          <w:szCs w:val="32"/>
        </w:rPr>
        <w:t>062637）。通过对原有危险废物处置项目实施技术改造，计划新增1套三效蒸发器、1套搪瓷釜蒸发器，并采取增加和优化生产班次等方式，在全厂危险废物处置总量保持不变的基础上，调整部分类别危险废物处置代码及规模。项目建成后，</w:t>
      </w:r>
      <w:r>
        <w:rPr>
          <w:rFonts w:ascii="仿宋" w:hAnsi="仿宋" w:eastAsia="仿宋"/>
          <w:b w:val="0"/>
          <w:bCs w:val="0"/>
          <w:color w:val="000000"/>
          <w:spacing w:val="-6"/>
          <w:sz w:val="32"/>
          <w:szCs w:val="32"/>
        </w:rPr>
        <w:t>HW06、HW12、HW34类危险废物</w:t>
      </w:r>
      <w:r>
        <w:rPr>
          <w:rFonts w:hint="eastAsia" w:ascii="仿宋" w:hAnsi="仿宋" w:eastAsia="仿宋"/>
          <w:b w:val="0"/>
          <w:bCs w:val="0"/>
          <w:color w:val="000000"/>
          <w:spacing w:val="-6"/>
          <w:sz w:val="32"/>
          <w:szCs w:val="32"/>
        </w:rPr>
        <w:t>处置量</w:t>
      </w:r>
      <w:r>
        <w:rPr>
          <w:rFonts w:ascii="仿宋" w:hAnsi="仿宋" w:eastAsia="仿宋"/>
          <w:b w:val="0"/>
          <w:bCs w:val="0"/>
          <w:color w:val="000000"/>
          <w:spacing w:val="-6"/>
          <w:sz w:val="32"/>
          <w:szCs w:val="32"/>
        </w:rPr>
        <w:t>分别</w:t>
      </w:r>
      <w:r>
        <w:rPr>
          <w:rFonts w:hint="eastAsia" w:ascii="仿宋" w:hAnsi="仿宋" w:eastAsia="仿宋"/>
          <w:b w:val="0"/>
          <w:bCs w:val="0"/>
          <w:color w:val="000000"/>
          <w:spacing w:val="-6"/>
          <w:sz w:val="32"/>
          <w:szCs w:val="32"/>
        </w:rPr>
        <w:t>增加6000吨/年、300吨/年、6000吨/年，</w:t>
      </w:r>
      <w:r>
        <w:rPr>
          <w:rFonts w:ascii="仿宋" w:hAnsi="仿宋" w:eastAsia="仿宋"/>
          <w:b w:val="0"/>
          <w:bCs w:val="0"/>
          <w:color w:val="000000"/>
          <w:spacing w:val="-6"/>
          <w:sz w:val="32"/>
          <w:szCs w:val="32"/>
        </w:rPr>
        <w:t>HW17、HW22类危险废物</w:t>
      </w:r>
      <w:r>
        <w:rPr>
          <w:rFonts w:hint="eastAsia" w:ascii="仿宋" w:hAnsi="仿宋" w:eastAsia="仿宋"/>
          <w:b w:val="0"/>
          <w:bCs w:val="0"/>
          <w:color w:val="000000"/>
          <w:spacing w:val="-6"/>
          <w:sz w:val="32"/>
          <w:szCs w:val="32"/>
        </w:rPr>
        <w:t>处置量</w:t>
      </w:r>
      <w:r>
        <w:rPr>
          <w:rFonts w:ascii="仿宋" w:hAnsi="仿宋" w:eastAsia="仿宋"/>
          <w:b w:val="0"/>
          <w:bCs w:val="0"/>
          <w:color w:val="000000"/>
          <w:spacing w:val="-6"/>
          <w:sz w:val="32"/>
          <w:szCs w:val="32"/>
        </w:rPr>
        <w:t>分别</w:t>
      </w:r>
      <w:r>
        <w:rPr>
          <w:rFonts w:hint="eastAsia" w:ascii="仿宋" w:hAnsi="仿宋" w:eastAsia="仿宋"/>
          <w:b w:val="0"/>
          <w:bCs w:val="0"/>
          <w:color w:val="000000"/>
          <w:spacing w:val="-6"/>
          <w:sz w:val="32"/>
          <w:szCs w:val="32"/>
        </w:rPr>
        <w:t>减少6000吨/年、6300吨/年，HW46、HW49</w:t>
      </w:r>
      <w:r>
        <w:rPr>
          <w:rFonts w:ascii="仿宋" w:hAnsi="仿宋" w:eastAsia="仿宋"/>
          <w:b w:val="0"/>
          <w:bCs w:val="0"/>
          <w:color w:val="000000"/>
          <w:spacing w:val="-6"/>
          <w:sz w:val="32"/>
          <w:szCs w:val="32"/>
        </w:rPr>
        <w:t>类危险废物处置量保持不变</w:t>
      </w:r>
      <w:r>
        <w:rPr>
          <w:rFonts w:hint="eastAsia" w:ascii="仿宋" w:hAnsi="仿宋" w:eastAsia="仿宋"/>
          <w:b w:val="0"/>
          <w:bCs w:val="0"/>
          <w:color w:val="000000"/>
          <w:spacing w:val="-6"/>
          <w:sz w:val="32"/>
          <w:szCs w:val="32"/>
        </w:rPr>
        <w:t>（详见《报告书》，各类危险废物处置规模以危险废物经营许可证最终核定为准）。在全面落实《报告书》中提出的各项污染防治措施和风险防范措施的基础上，项目所产生的环境影响可以得到控制，从环境保护角度，同意你公司按照《报告书》中所列项目的建设内容、规模、地点和污染防治措施进行项目建设。</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b w:val="0"/>
          <w:bCs w:val="0"/>
          <w:color w:val="000000"/>
          <w:sz w:val="32"/>
          <w:szCs w:val="32"/>
        </w:rPr>
      </w:pPr>
      <w:r>
        <w:rPr>
          <w:rFonts w:hint="eastAsia" w:ascii="仿宋" w:hAnsi="仿宋" w:eastAsia="仿宋"/>
          <w:b w:val="0"/>
          <w:bCs w:val="0"/>
          <w:color w:val="000000"/>
          <w:sz w:val="32"/>
          <w:szCs w:val="32"/>
        </w:rPr>
        <w:t>二、同意《报告书》采用的评价标准，该《报告书》可作为项目环保设计和环境管理的依据。</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b w:val="0"/>
          <w:bCs w:val="0"/>
          <w:color w:val="000000"/>
          <w:sz w:val="32"/>
          <w:szCs w:val="32"/>
        </w:rPr>
      </w:pPr>
      <w:r>
        <w:rPr>
          <w:rFonts w:hint="eastAsia" w:ascii="仿宋" w:hAnsi="仿宋" w:eastAsia="仿宋"/>
          <w:b w:val="0"/>
          <w:bCs w:val="0"/>
          <w:color w:val="000000"/>
          <w:sz w:val="32"/>
          <w:szCs w:val="32"/>
        </w:rPr>
        <w:t>三、在实施建设项目时，你公司应重点做好以下环保工作：</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b w:val="0"/>
          <w:bCs w:val="0"/>
          <w:color w:val="000000"/>
          <w:sz w:val="32"/>
          <w:szCs w:val="32"/>
        </w:rPr>
      </w:pPr>
      <w:r>
        <w:rPr>
          <w:rFonts w:hint="eastAsia" w:ascii="仿宋" w:hAnsi="仿宋" w:eastAsia="仿宋"/>
          <w:b w:val="0"/>
          <w:bCs w:val="0"/>
          <w:color w:val="000000"/>
          <w:sz w:val="32"/>
          <w:szCs w:val="32"/>
        </w:rPr>
        <w:t>（一）加强项目施工期间的环境教育与管理，文明施工，规范操作，合理安排作业时间，降低施工过程污水、扬尘、噪声等对周边环境的影响。</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b w:val="0"/>
          <w:bCs w:val="0"/>
          <w:color w:val="000000"/>
          <w:sz w:val="32"/>
          <w:szCs w:val="32"/>
        </w:rPr>
      </w:pPr>
      <w:r>
        <w:rPr>
          <w:rFonts w:hint="eastAsia" w:ascii="仿宋" w:hAnsi="仿宋" w:eastAsia="仿宋"/>
          <w:b w:val="0"/>
          <w:bCs w:val="0"/>
          <w:color w:val="000000"/>
          <w:sz w:val="32"/>
          <w:szCs w:val="32"/>
        </w:rPr>
        <w:t>（二）按照“雨污分流”原则建设项目排水系统，加快实施厂区现有雨污管网改造。项目生产废水以及初期雨水经厂区现有综合污水处理站处理、生活污水经化粪池处理，达标后一并通过市政污水管网排入阳逻污水处理厂进一步处理。其中含镍废水预处理单元排放口应满足《污水综合排放标准》（GB8978-1996）表1限值要求，厂区废水总排口应满足《污水综合排放标准》（GB8978-1996）表4中三级标准限值要求。加强厂区排水管理，严禁生产废水、废液混排进入雨水管网，定期开展雨水排口监测。规范建设污水总排口，按《报告书》要求完善污染物在线监测设备并与生态环境保护主管部门联网。</w:t>
      </w:r>
    </w:p>
    <w:p>
      <w:pPr>
        <w:keepNext w:val="0"/>
        <w:keepLines w:val="0"/>
        <w:pageBreakBefore w:val="0"/>
        <w:widowControl w:val="0"/>
        <w:kinsoku/>
        <w:wordWrap/>
        <w:overflowPunct/>
        <w:topLinePunct w:val="0"/>
        <w:autoSpaceDE/>
        <w:autoSpaceDN/>
        <w:bidi w:val="0"/>
        <w:adjustRightInd/>
        <w:snapToGrid/>
        <w:spacing w:line="510" w:lineRule="exact"/>
        <w:ind w:firstLine="616" w:firstLineChars="200"/>
        <w:textAlignment w:val="auto"/>
        <w:rPr>
          <w:rFonts w:hint="eastAsia" w:ascii="仿宋" w:hAnsi="仿宋" w:eastAsia="仿宋"/>
          <w:b w:val="0"/>
          <w:bCs w:val="0"/>
          <w:spacing w:val="-6"/>
          <w:sz w:val="32"/>
          <w:szCs w:val="32"/>
        </w:rPr>
      </w:pPr>
      <w:r>
        <w:rPr>
          <w:rFonts w:hint="eastAsia" w:ascii="仿宋" w:hAnsi="仿宋" w:eastAsia="仿宋"/>
          <w:b w:val="0"/>
          <w:bCs w:val="0"/>
          <w:color w:val="000000"/>
          <w:spacing w:val="-6"/>
          <w:sz w:val="32"/>
          <w:szCs w:val="32"/>
        </w:rPr>
        <w:t>（三）</w:t>
      </w:r>
      <w:r>
        <w:rPr>
          <w:rFonts w:hint="eastAsia" w:ascii="仿宋" w:hAnsi="仿宋" w:eastAsia="仿宋"/>
          <w:b w:val="0"/>
          <w:bCs w:val="0"/>
          <w:spacing w:val="-6"/>
          <w:sz w:val="32"/>
          <w:szCs w:val="32"/>
        </w:rPr>
        <w:t>严格落实各项废气污染防治措施。废有机溶剂、涂料废物贮存区域应采取密闭负压收集措施。废有机溶剂处理装置产生的不凝气经收集并采用活性炭吸附设施处理后</w:t>
      </w:r>
      <w:r>
        <w:rPr>
          <w:rFonts w:hint="eastAsia" w:ascii="仿宋" w:hAnsi="仿宋" w:eastAsia="仿宋"/>
          <w:b w:val="0"/>
          <w:bCs w:val="0"/>
          <w:color w:val="000000"/>
          <w:spacing w:val="-6"/>
          <w:sz w:val="32"/>
          <w:szCs w:val="32"/>
        </w:rPr>
        <w:t>通过排气筒</w:t>
      </w:r>
      <w:r>
        <w:rPr>
          <w:rFonts w:hint="eastAsia" w:ascii="仿宋" w:hAnsi="仿宋" w:eastAsia="仿宋"/>
          <w:b w:val="0"/>
          <w:bCs w:val="0"/>
          <w:spacing w:val="-6"/>
          <w:sz w:val="32"/>
          <w:szCs w:val="32"/>
        </w:rPr>
        <w:t>高空排放；废液物化处理单元、</w:t>
      </w:r>
      <w:r>
        <w:rPr>
          <w:rFonts w:hint="eastAsia" w:ascii="仿宋" w:hAnsi="仿宋" w:eastAsia="仿宋"/>
          <w:b w:val="0"/>
          <w:bCs w:val="0"/>
          <w:color w:val="000000"/>
          <w:spacing w:val="-6"/>
          <w:sz w:val="32"/>
          <w:szCs w:val="32"/>
        </w:rPr>
        <w:t>综合污水处理站</w:t>
      </w:r>
      <w:r>
        <w:rPr>
          <w:rFonts w:hint="eastAsia" w:ascii="仿宋" w:hAnsi="仿宋" w:eastAsia="仿宋"/>
          <w:b w:val="0"/>
          <w:bCs w:val="0"/>
          <w:spacing w:val="-6"/>
          <w:sz w:val="32"/>
          <w:szCs w:val="32"/>
        </w:rPr>
        <w:t>、储罐区、含铜废物处理单元产生的废气经收集并采用酸碱喷淋+除湿+活性炭吸附设施处理后</w:t>
      </w:r>
      <w:r>
        <w:rPr>
          <w:rFonts w:hint="eastAsia" w:ascii="仿宋" w:hAnsi="仿宋" w:eastAsia="仿宋"/>
          <w:b w:val="0"/>
          <w:bCs w:val="0"/>
          <w:color w:val="000000"/>
          <w:spacing w:val="-6"/>
          <w:sz w:val="32"/>
          <w:szCs w:val="32"/>
        </w:rPr>
        <w:t>通过排气筒</w:t>
      </w:r>
      <w:r>
        <w:rPr>
          <w:rFonts w:hint="eastAsia" w:ascii="仿宋" w:hAnsi="仿宋" w:eastAsia="仿宋"/>
          <w:b w:val="0"/>
          <w:bCs w:val="0"/>
          <w:spacing w:val="-6"/>
          <w:sz w:val="32"/>
          <w:szCs w:val="32"/>
        </w:rPr>
        <w:t>高空排放；废桶清洗单元产生的废气经收集并采用除湿+活性炭吸附设施处理后</w:t>
      </w:r>
      <w:r>
        <w:rPr>
          <w:rFonts w:hint="eastAsia" w:ascii="仿宋" w:hAnsi="仿宋" w:eastAsia="仿宋"/>
          <w:b w:val="0"/>
          <w:bCs w:val="0"/>
          <w:color w:val="000000"/>
          <w:spacing w:val="-6"/>
          <w:sz w:val="32"/>
          <w:szCs w:val="32"/>
        </w:rPr>
        <w:t>通过排气筒</w:t>
      </w:r>
      <w:r>
        <w:rPr>
          <w:rFonts w:hint="eastAsia" w:ascii="仿宋" w:hAnsi="仿宋" w:eastAsia="仿宋"/>
          <w:b w:val="0"/>
          <w:bCs w:val="0"/>
          <w:spacing w:val="-6"/>
          <w:sz w:val="32"/>
          <w:szCs w:val="32"/>
        </w:rPr>
        <w:t>高空排放；危废暂存间产生的废气经收集并采用水喷淋+除湿+活性炭吸附设施处理后</w:t>
      </w:r>
      <w:r>
        <w:rPr>
          <w:rFonts w:hint="eastAsia" w:ascii="仿宋" w:hAnsi="仿宋" w:eastAsia="仿宋"/>
          <w:b w:val="0"/>
          <w:bCs w:val="0"/>
          <w:color w:val="000000"/>
          <w:spacing w:val="-6"/>
          <w:sz w:val="32"/>
          <w:szCs w:val="32"/>
        </w:rPr>
        <w:t>通过排气筒</w:t>
      </w:r>
      <w:r>
        <w:rPr>
          <w:rFonts w:hint="eastAsia" w:ascii="仿宋" w:hAnsi="仿宋" w:eastAsia="仿宋"/>
          <w:b w:val="0"/>
          <w:bCs w:val="0"/>
          <w:spacing w:val="-6"/>
          <w:sz w:val="32"/>
          <w:szCs w:val="32"/>
        </w:rPr>
        <w:t>高空排放。各排气筒应按规范要求设置采样孔和采样平台。外排废气中挥发性有机物参照执行《厦门市大气污染物综合排放标准》（DB35/323-2018）表2限值要求；丙酮、二氯甲烷参照执行上海市地方标准《大气污染物综合排放标准》（DB31/933-2015）表1限值要求；恶臭类污染物执行《恶臭污染物排放标准》（GB14554-93）表2限值要求；其他污染物执行《大气污染物综合排放标准》（GB16297-1996）表2中二级标准限值要求。</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b w:val="0"/>
          <w:bCs w:val="0"/>
          <w:sz w:val="32"/>
          <w:szCs w:val="32"/>
        </w:rPr>
      </w:pPr>
      <w:r>
        <w:rPr>
          <w:rFonts w:hint="eastAsia" w:ascii="仿宋" w:hAnsi="仿宋" w:eastAsia="仿宋"/>
          <w:b w:val="0"/>
          <w:bCs w:val="0"/>
          <w:sz w:val="32"/>
          <w:szCs w:val="32"/>
        </w:rPr>
        <w:t>采取密闭、负压收集等有效措施做好生产经营、物料暂存、污水处理等环节有机废气收集处理；加强各类设备、储罐、管道、阀门的日常巡查和维护保养，避免跑冒滴漏现象发生，严格控制各类废气无组织排放。厂区非甲烷总烃浓度应满足《挥发性有机物无组织排放控制标准》（GB37822-2019）</w:t>
      </w:r>
      <w:r>
        <w:rPr>
          <w:rFonts w:hint="eastAsia" w:ascii="仿宋" w:hAnsi="仿宋" w:eastAsia="仿宋"/>
          <w:b w:val="0"/>
          <w:bCs w:val="0"/>
          <w:spacing w:val="-2"/>
          <w:sz w:val="32"/>
          <w:szCs w:val="32"/>
        </w:rPr>
        <w:t>无组织排放限值要求</w:t>
      </w:r>
      <w:r>
        <w:rPr>
          <w:rFonts w:hint="eastAsia" w:ascii="仿宋" w:hAnsi="仿宋" w:eastAsia="仿宋"/>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b w:val="0"/>
          <w:bCs w:val="0"/>
          <w:color w:val="000000"/>
          <w:sz w:val="32"/>
          <w:szCs w:val="32"/>
        </w:rPr>
      </w:pPr>
      <w:r>
        <w:rPr>
          <w:rFonts w:hint="eastAsia" w:ascii="仿宋" w:hAnsi="仿宋" w:eastAsia="仿宋" w:cs="仿宋_GB2312"/>
          <w:b w:val="0"/>
          <w:bCs w:val="0"/>
          <w:color w:val="000000"/>
          <w:sz w:val="32"/>
          <w:szCs w:val="32"/>
        </w:rPr>
        <w:t>（四）落实地下水和土壤污染防治措施，按照</w:t>
      </w:r>
      <w:r>
        <w:rPr>
          <w:rFonts w:hint="eastAsia" w:ascii="仿宋" w:hAnsi="仿宋" w:eastAsia="仿宋"/>
          <w:b w:val="0"/>
          <w:bCs w:val="0"/>
          <w:color w:val="000000"/>
          <w:sz w:val="32"/>
          <w:szCs w:val="32"/>
        </w:rPr>
        <w:t>规范要求对厂区地面进行分区防渗处理，</w:t>
      </w:r>
      <w:r>
        <w:rPr>
          <w:rFonts w:hint="eastAsia" w:ascii="仿宋" w:hAnsi="仿宋" w:eastAsia="仿宋" w:cs="仿宋_GB2312"/>
          <w:b w:val="0"/>
          <w:bCs w:val="0"/>
          <w:color w:val="000000"/>
          <w:sz w:val="32"/>
          <w:szCs w:val="32"/>
        </w:rPr>
        <w:t>加强各类设施及管线日常巡查，</w:t>
      </w:r>
      <w:r>
        <w:rPr>
          <w:rFonts w:hint="eastAsia" w:ascii="仿宋" w:hAnsi="仿宋" w:eastAsia="仿宋"/>
          <w:b w:val="0"/>
          <w:bCs w:val="0"/>
          <w:color w:val="000000"/>
          <w:sz w:val="32"/>
          <w:szCs w:val="32"/>
        </w:rPr>
        <w:t>避免对地下水、土壤环境产生不利影响；按《报告书》要求定期组织开展</w:t>
      </w:r>
      <w:r>
        <w:rPr>
          <w:rFonts w:hint="eastAsia" w:ascii="仿宋" w:hAnsi="仿宋" w:eastAsia="仿宋" w:cs="仿宋_GB2312"/>
          <w:b w:val="0"/>
          <w:bCs w:val="0"/>
          <w:color w:val="000000"/>
          <w:sz w:val="32"/>
          <w:szCs w:val="32"/>
        </w:rPr>
        <w:t>地下水、土壤环境质量的跟踪监测工作。</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cs="仿宋_GB2312"/>
          <w:b w:val="0"/>
          <w:bCs w:val="0"/>
          <w:color w:val="000000"/>
          <w:sz w:val="32"/>
          <w:szCs w:val="32"/>
        </w:rPr>
      </w:pPr>
      <w:r>
        <w:rPr>
          <w:rFonts w:hint="eastAsia" w:ascii="仿宋" w:hAnsi="仿宋" w:eastAsia="仿宋" w:cs="仿宋_GB2312"/>
          <w:b w:val="0"/>
          <w:bCs w:val="0"/>
          <w:color w:val="000000"/>
          <w:sz w:val="32"/>
          <w:szCs w:val="32"/>
        </w:rPr>
        <w:t>（五）优先选用低噪声设备，对噪声源合理布局并采取隔音、消声等有效降噪措施，确保厂界噪声满足《工业企业厂界环境噪声排放标准》（GB12348-2008）相关标准要求。</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cs="仿宋_GB2312"/>
          <w:b w:val="0"/>
          <w:bCs w:val="0"/>
          <w:color w:val="000000"/>
          <w:sz w:val="32"/>
          <w:szCs w:val="32"/>
        </w:rPr>
      </w:pPr>
      <w:r>
        <w:rPr>
          <w:rFonts w:hint="eastAsia" w:ascii="仿宋" w:hAnsi="仿宋" w:eastAsia="仿宋" w:cs="仿宋_GB2312"/>
          <w:b w:val="0"/>
          <w:bCs w:val="0"/>
          <w:color w:val="000000"/>
          <w:sz w:val="32"/>
          <w:szCs w:val="32"/>
        </w:rPr>
        <w:t>（六）项目应按“资源化、减量化、无害化”处置原则，落实《报告书》提出的固体废物收集、暂存和处置措施，实行分类暂存，规范管理，及时处置。按照环保、安全有关规范要求完善现有危险废物暂存间，建立完善危险废物进出台帐，落实危险废物转移联单制度。项目产生的蒸馏残渣、涂料废物、废活性炭、含铜污泥等危险废物</w:t>
      </w:r>
      <w:r>
        <w:rPr>
          <w:rFonts w:hint="eastAsia" w:ascii="仿宋" w:hAnsi="仿宋" w:eastAsia="仿宋"/>
          <w:b w:val="0"/>
          <w:bCs w:val="0"/>
          <w:color w:val="000000"/>
          <w:sz w:val="32"/>
          <w:szCs w:val="32"/>
        </w:rPr>
        <w:t>应定期</w:t>
      </w:r>
      <w:r>
        <w:rPr>
          <w:rFonts w:hint="eastAsia" w:ascii="仿宋" w:hAnsi="仿宋" w:eastAsia="仿宋" w:cs="仿宋_GB2312"/>
          <w:b w:val="0"/>
          <w:bCs w:val="0"/>
          <w:color w:val="000000"/>
          <w:sz w:val="32"/>
          <w:szCs w:val="32"/>
        </w:rPr>
        <w:t>交有资质的单位妥善处置；废包装材料、清洗后的破损桶等一般工业固体废物应进行综合利用。</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cs="仿宋_GB2312"/>
          <w:b w:val="0"/>
          <w:bCs w:val="0"/>
          <w:color w:val="000000"/>
          <w:sz w:val="32"/>
          <w:szCs w:val="32"/>
        </w:rPr>
      </w:pPr>
      <w:r>
        <w:rPr>
          <w:rFonts w:hint="eastAsia" w:ascii="仿宋" w:hAnsi="仿宋" w:eastAsia="仿宋" w:cs="仿宋_GB2312"/>
          <w:b w:val="0"/>
          <w:bCs w:val="0"/>
          <w:color w:val="000000"/>
          <w:sz w:val="32"/>
          <w:szCs w:val="32"/>
        </w:rPr>
        <w:t>四、加强环境风险防控，严格落实《报告书》提出的各项风险防范措施及消防安全要求，建设完善相应安全设施设备，规范各类危险化学品和危险废物暂存及运输管理，严防泄漏、火灾、爆炸事故发生。完善环境风险应急预案，并实现与相关部门突发环境事件应急预案的有效衔接。加强安全事故防范及应急管理，定期开展环境安全隐患排查，组织环境应急培训和演练，提升风险防控和事故应急处置能力，切实防范环境污染事件发生。</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cs="仿宋_GB2312"/>
          <w:b w:val="0"/>
          <w:bCs w:val="0"/>
          <w:color w:val="000000"/>
          <w:sz w:val="32"/>
          <w:szCs w:val="32"/>
        </w:rPr>
      </w:pPr>
      <w:r>
        <w:rPr>
          <w:rFonts w:hint="eastAsia" w:ascii="仿宋" w:hAnsi="仿宋" w:eastAsia="仿宋" w:cs="仿宋_GB2312"/>
          <w:b w:val="0"/>
          <w:bCs w:val="0"/>
          <w:color w:val="000000"/>
          <w:sz w:val="32"/>
          <w:szCs w:val="32"/>
        </w:rPr>
        <w:t>项目实施过程中应严格执行环保设施与主体工程同时设计、同时施工、同时投产使用的环境保护“三同时”制度，将环境保护设施建设纳入施工合同，保证环境保护设施建设进度和资金，全面落实《报告书》提出的各项污染防治措施。项目竣工后，你公司应依法开展建设项目竣工环保验收，编制验收报告并依法向社会公开，经验收合格后项目方可正式投入运行。</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cs="仿宋_GB2312"/>
          <w:b w:val="0"/>
          <w:bCs w:val="0"/>
          <w:color w:val="000000"/>
          <w:sz w:val="32"/>
          <w:szCs w:val="32"/>
        </w:rPr>
      </w:pPr>
      <w:r>
        <w:rPr>
          <w:rFonts w:hint="eastAsia" w:ascii="仿宋" w:hAnsi="仿宋" w:eastAsia="仿宋" w:cs="仿宋_GB2312"/>
          <w:b w:val="0"/>
          <w:bCs w:val="0"/>
          <w:color w:val="000000"/>
          <w:sz w:val="32"/>
          <w:szCs w:val="32"/>
        </w:rPr>
        <w:t>项目建设及运营期间的环境监督检查工作由武汉市生态环境保护综合执法支队、武汉市生态环境局新洲区分局负责。</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cs="仿宋_GB2312"/>
          <w:b w:val="0"/>
          <w:bCs w:val="0"/>
          <w:color w:val="000000"/>
          <w:sz w:val="32"/>
          <w:szCs w:val="32"/>
        </w:rPr>
      </w:pPr>
      <w:r>
        <w:rPr>
          <w:rFonts w:hint="eastAsia" w:ascii="仿宋" w:hAnsi="仿宋" w:eastAsia="仿宋" w:cs="仿宋_GB2312"/>
          <w:b w:val="0"/>
          <w:bCs w:val="0"/>
          <w:color w:val="000000"/>
          <w:sz w:val="32"/>
          <w:szCs w:val="32"/>
        </w:rPr>
        <w:t>若本批复自生效之日起</w:t>
      </w:r>
      <w:r>
        <w:rPr>
          <w:rFonts w:ascii="仿宋" w:hAnsi="仿宋" w:eastAsia="仿宋" w:cs="仿宋_GB2312"/>
          <w:b w:val="0"/>
          <w:bCs w:val="0"/>
          <w:color w:val="000000"/>
          <w:sz w:val="32"/>
          <w:szCs w:val="32"/>
        </w:rPr>
        <w:t>5</w:t>
      </w:r>
      <w:r>
        <w:rPr>
          <w:rFonts w:hint="eastAsia" w:ascii="仿宋" w:hAnsi="仿宋" w:eastAsia="仿宋" w:cs="仿宋_GB2312"/>
          <w:b w:val="0"/>
          <w:bCs w:val="0"/>
          <w:color w:val="000000"/>
          <w:sz w:val="32"/>
          <w:szCs w:val="32"/>
        </w:rPr>
        <w:t>年后项目方开工建设，其环境影响评价文件应报经我局重新审核；如项目性质、规模、地点和污染防治措施发生重大变动，应重新报批环境影响评价文件。</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_GB2312"/>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_GB2312"/>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5120" w:firstLineChars="16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武汉市生态环境局         </w:t>
      </w:r>
    </w:p>
    <w:p>
      <w:pPr>
        <w:keepNext w:val="0"/>
        <w:keepLines w:val="0"/>
        <w:pageBreakBefore w:val="0"/>
        <w:widowControl w:val="0"/>
        <w:kinsoku/>
        <w:wordWrap/>
        <w:overflowPunct/>
        <w:topLinePunct w:val="0"/>
        <w:autoSpaceDE/>
        <w:autoSpaceDN/>
        <w:bidi w:val="0"/>
        <w:adjustRightInd/>
        <w:snapToGrid/>
        <w:spacing w:line="460" w:lineRule="exact"/>
        <w:ind w:firstLine="5120" w:firstLineChars="16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2020年11月1</w:t>
      </w: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 xml:space="preserve">日 </w:t>
      </w:r>
    </w:p>
    <w:p>
      <w:pPr>
        <w:keepNext w:val="0"/>
        <w:keepLines w:val="0"/>
        <w:pageBreakBefore w:val="0"/>
        <w:widowControl w:val="0"/>
        <w:kinsoku/>
        <w:wordWrap/>
        <w:overflowPunct/>
        <w:topLinePunct w:val="0"/>
        <w:autoSpaceDE/>
        <w:autoSpaceDN/>
        <w:bidi w:val="0"/>
        <w:adjustRightInd/>
        <w:snapToGrid/>
        <w:spacing w:after="0" w:line="140" w:lineRule="exact"/>
        <w:ind w:firstLine="437"/>
        <w:jc w:val="left"/>
        <w:textAlignment w:val="auto"/>
        <w:outlineLvl w:val="9"/>
        <w:rPr>
          <w:rFonts w:ascii="仿宋_GB2312" w:hAnsi="Calibri" w:eastAsia="仿宋_GB2312" w:cs="Times New Roman"/>
          <w:kern w:val="0"/>
          <w:sz w:val="32"/>
          <w:szCs w:val="32"/>
          <w:lang w:val="en-US" w:eastAsia="zh-CN" w:bidi="en-US"/>
        </w:rPr>
      </w:pPr>
    </w:p>
    <w:p>
      <w:pPr>
        <w:keepNext w:val="0"/>
        <w:keepLines w:val="0"/>
        <w:pageBreakBefore w:val="0"/>
        <w:widowControl w:val="0"/>
        <w:kinsoku/>
        <w:wordWrap/>
        <w:overflowPunct/>
        <w:topLinePunct w:val="0"/>
        <w:autoSpaceDE/>
        <w:autoSpaceDN/>
        <w:bidi w:val="0"/>
        <w:adjustRightInd/>
        <w:snapToGrid/>
        <w:spacing w:after="0" w:line="140" w:lineRule="exact"/>
        <w:ind w:firstLine="437"/>
        <w:jc w:val="left"/>
        <w:textAlignment w:val="auto"/>
        <w:outlineLvl w:val="9"/>
        <w:rPr>
          <w:rFonts w:ascii="仿宋_GB2312" w:hAnsi="Calibri" w:eastAsia="仿宋_GB2312" w:cs="Times New Roman"/>
          <w:kern w:val="0"/>
          <w:sz w:val="32"/>
          <w:szCs w:val="32"/>
          <w:lang w:val="en-US" w:eastAsia="zh-CN" w:bidi="en-US"/>
        </w:rPr>
      </w:pPr>
    </w:p>
    <w:p>
      <w:pPr>
        <w:keepNext w:val="0"/>
        <w:keepLines w:val="0"/>
        <w:pageBreakBefore w:val="0"/>
        <w:widowControl w:val="0"/>
        <w:kinsoku/>
        <w:wordWrap w:val="0"/>
        <w:overflowPunct/>
        <w:topLinePunct w:val="0"/>
        <w:autoSpaceDE/>
        <w:autoSpaceDN/>
        <w:bidi w:val="0"/>
        <w:adjustRightInd/>
        <w:snapToGrid/>
        <w:spacing w:line="420" w:lineRule="exact"/>
        <w:ind w:right="23" w:rightChars="0" w:firstLine="268" w:firstLineChars="100"/>
        <w:jc w:val="left"/>
        <w:textAlignment w:val="auto"/>
        <w:outlineLvl w:val="9"/>
        <w:rPr>
          <w:rFonts w:hint="eastAsia" w:ascii="仿宋_GB2312" w:hAnsi="仿宋_GB2312" w:eastAsia="仿宋_GB2312" w:cs="仿宋_GB2312"/>
          <w:b w:val="0"/>
          <w:bCs w:val="0"/>
          <w:spacing w:val="0"/>
          <w:kern w:val="0"/>
          <w:sz w:val="28"/>
          <w:szCs w:val="28"/>
          <w:lang w:eastAsia="zh-CN" w:bidi="en-US"/>
        </w:rPr>
      </w:pPr>
      <w:r>
        <w:rPr>
          <w:rFonts w:hint="eastAsia" w:ascii="仿宋_GB2312" w:hAnsi="仿宋_GB2312" w:eastAsia="仿宋_GB2312" w:cs="仿宋_GB2312"/>
          <w:b w:val="0"/>
          <w:bCs w:val="0"/>
          <w:spacing w:val="-6"/>
          <w:kern w:val="0"/>
          <w:sz w:val="28"/>
          <w:szCs w:val="28"/>
          <w:lang w:eastAsia="zh-CN" w:bidi="en-US"/>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3175</wp:posOffset>
                </wp:positionV>
                <wp:extent cx="5715000" cy="0"/>
                <wp:effectExtent l="0" t="0" r="0" b="0"/>
                <wp:wrapNone/>
                <wp:docPr id="5" name="直线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pt;margin-top:0.25pt;height:0pt;width:450pt;z-index:251666432;mso-width-relative:page;mso-height-relative:page;" filled="f" stroked="t" coordsize="21600,21600" o:gfxdata="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H9L80AAAAAIBAAAPAAAAAAAAAAEAIAAAACIAAABkcnMv&#10;ZG93bnJldi54bWxQSwECFAAUAAAACACHTuJAEiYTrNIBAACbAwAADgAAAAAAAAABACAAAAAfAQAA&#10;ZHJzL2Uyb0RvYy54bWxQSwUGAAAAAAYABgBZAQAAYwU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spacing w:val="-6"/>
          <w:kern w:val="0"/>
          <w:sz w:val="28"/>
          <w:szCs w:val="28"/>
          <w:lang w:eastAsia="zh-CN" w:bidi="en-US"/>
        </w:rPr>
        <w:t>抄送：武汉市生态环境局新洲</w:t>
      </w:r>
      <w:r>
        <w:rPr>
          <w:rFonts w:hint="eastAsia" w:ascii="仿宋_GB2312" w:hAnsi="仿宋_GB2312" w:eastAsia="仿宋_GB2312" w:cs="仿宋_GB2312"/>
          <w:b w:val="0"/>
          <w:bCs w:val="0"/>
          <w:spacing w:val="-6"/>
          <w:kern w:val="0"/>
          <w:sz w:val="28"/>
          <w:szCs w:val="28"/>
          <w:lang w:val="en-US" w:eastAsia="zh-CN" w:bidi="en-US"/>
        </w:rPr>
        <w:t>区</w:t>
      </w:r>
      <w:r>
        <w:rPr>
          <w:rFonts w:hint="eastAsia" w:ascii="仿宋_GB2312" w:hAnsi="仿宋_GB2312" w:eastAsia="仿宋_GB2312" w:cs="仿宋_GB2312"/>
          <w:b w:val="0"/>
          <w:bCs w:val="0"/>
          <w:spacing w:val="-6"/>
          <w:kern w:val="0"/>
          <w:sz w:val="28"/>
          <w:szCs w:val="28"/>
          <w:lang w:eastAsia="zh-CN" w:bidi="en-US"/>
        </w:rPr>
        <w:t>分局，武汉市生态环境保护综合执法支</w:t>
      </w:r>
      <w:r>
        <w:rPr>
          <w:rFonts w:hint="eastAsia" w:ascii="仿宋_GB2312" w:hAnsi="仿宋_GB2312" w:eastAsia="仿宋_GB2312" w:cs="仿宋_GB2312"/>
          <w:b w:val="0"/>
          <w:bCs w:val="0"/>
          <w:spacing w:val="0"/>
          <w:kern w:val="0"/>
          <w:sz w:val="28"/>
          <w:szCs w:val="28"/>
          <w:lang w:eastAsia="zh-CN" w:bidi="en-US"/>
        </w:rPr>
        <w:t>队，</w:t>
      </w:r>
    </w:p>
    <w:p>
      <w:pPr>
        <w:keepNext w:val="0"/>
        <w:keepLines w:val="0"/>
        <w:pageBreakBefore w:val="0"/>
        <w:widowControl w:val="0"/>
        <w:kinsoku/>
        <w:wordWrap w:val="0"/>
        <w:overflowPunct/>
        <w:topLinePunct w:val="0"/>
        <w:autoSpaceDE/>
        <w:autoSpaceDN/>
        <w:bidi w:val="0"/>
        <w:adjustRightInd/>
        <w:snapToGrid/>
        <w:spacing w:line="420" w:lineRule="exact"/>
        <w:ind w:right="23" w:rightChars="0"/>
        <w:jc w:val="left"/>
        <w:textAlignment w:val="auto"/>
        <w:outlineLvl w:val="9"/>
        <w:rPr>
          <w:rFonts w:hint="eastAsia" w:ascii="仿宋_GB2312" w:hAnsi="仿宋_GB2312" w:eastAsia="仿宋_GB2312" w:cs="仿宋_GB2312"/>
          <w:b w:val="0"/>
          <w:bCs w:val="0"/>
          <w:spacing w:val="0"/>
          <w:kern w:val="0"/>
          <w:sz w:val="28"/>
          <w:szCs w:val="28"/>
          <w:lang w:eastAsia="zh-CN" w:bidi="en-US"/>
        </w:rPr>
      </w:pPr>
      <w:r>
        <w:rPr>
          <w:rFonts w:hint="default" w:ascii="仿宋_GB2312" w:hAnsi="仿宋_GB2312" w:eastAsia="仿宋_GB2312" w:cs="仿宋_GB2312"/>
          <w:b w:val="0"/>
          <w:bCs w:val="0"/>
          <w:spacing w:val="0"/>
          <w:kern w:val="0"/>
          <w:sz w:val="28"/>
          <w:szCs w:val="28"/>
          <w:lang w:val="en-US" w:eastAsia="zh-CN" w:bidi="en-US"/>
        </w:rPr>
        <w:t xml:space="preserve">       </w:t>
      </w:r>
      <w:r>
        <w:rPr>
          <w:rFonts w:hint="eastAsia" w:ascii="仿宋_GB2312" w:hAnsi="仿宋_GB2312" w:eastAsia="仿宋_GB2312" w:cs="仿宋_GB2312"/>
          <w:b w:val="0"/>
          <w:bCs w:val="0"/>
          <w:spacing w:val="0"/>
          <w:kern w:val="0"/>
          <w:sz w:val="28"/>
          <w:szCs w:val="28"/>
          <w:lang w:val="en-US" w:eastAsia="zh-CN" w:bidi="en-US"/>
        </w:rPr>
        <w:t>武汉市</w:t>
      </w:r>
      <w:r>
        <w:rPr>
          <w:rFonts w:hint="eastAsia" w:ascii="仿宋_GB2312" w:hAnsi="仿宋_GB2312" w:eastAsia="仿宋_GB2312" w:cs="仿宋_GB2312"/>
          <w:b w:val="0"/>
          <w:bCs w:val="0"/>
          <w:spacing w:val="0"/>
          <w:kern w:val="0"/>
          <w:sz w:val="28"/>
          <w:szCs w:val="28"/>
          <w:lang w:eastAsia="zh-CN" w:bidi="en-US"/>
        </w:rPr>
        <w:t>环境技术审查中心，武汉智汇元环保科技有</w:t>
      </w:r>
      <w:bookmarkStart w:id="0" w:name="_GoBack"/>
      <w:bookmarkEnd w:id="0"/>
      <w:r>
        <w:rPr>
          <w:rFonts w:hint="eastAsia" w:ascii="仿宋_GB2312" w:hAnsi="仿宋_GB2312" w:eastAsia="仿宋_GB2312" w:cs="仿宋_GB2312"/>
          <w:b w:val="0"/>
          <w:bCs w:val="0"/>
          <w:spacing w:val="0"/>
          <w:kern w:val="0"/>
          <w:sz w:val="28"/>
          <w:szCs w:val="28"/>
          <w:lang w:eastAsia="zh-CN" w:bidi="en-US"/>
        </w:rPr>
        <w:t>限公司。</w:t>
      </w:r>
    </w:p>
    <w:p>
      <w:pPr>
        <w:keepNext w:val="0"/>
        <w:keepLines w:val="0"/>
        <w:pageBreakBefore w:val="0"/>
        <w:widowControl w:val="0"/>
        <w:kinsoku/>
        <w:wordWrap/>
        <w:overflowPunct/>
        <w:topLinePunct w:val="0"/>
        <w:autoSpaceDE/>
        <w:autoSpaceDN/>
        <w:bidi w:val="0"/>
        <w:adjustRightInd/>
        <w:snapToGrid/>
        <w:spacing w:after="0" w:line="540" w:lineRule="exact"/>
        <w:ind w:firstLine="140" w:firstLineChars="50"/>
        <w:jc w:val="left"/>
        <w:textAlignment w:val="auto"/>
        <w:outlineLvl w:val="9"/>
        <w:rPr>
          <w:rFonts w:ascii="仿宋_GB2312" w:hAnsi="Calibri" w:eastAsia="仿宋_GB2312" w:cs="Times New Roman"/>
          <w:b w:val="0"/>
          <w:bCs w:val="0"/>
          <w:kern w:val="0"/>
          <w:sz w:val="28"/>
          <w:szCs w:val="28"/>
          <w:lang w:eastAsia="zh-CN" w:bidi="en-US"/>
        </w:rPr>
      </w:pPr>
      <w:r>
        <w:rPr>
          <w:rFonts w:ascii="Calibri" w:hAnsi="Calibri" w:eastAsia="宋体" w:cs="Times New Roman"/>
          <w:b w:val="0"/>
          <w:bCs w:val="0"/>
          <w:kern w:val="0"/>
          <w:sz w:val="28"/>
          <w:szCs w:val="28"/>
          <w:lang w:eastAsia="zh-CN" w:bidi="en-US"/>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40640</wp:posOffset>
                </wp:positionV>
                <wp:extent cx="5715000" cy="0"/>
                <wp:effectExtent l="0" t="0" r="0" b="0"/>
                <wp:wrapNone/>
                <wp:docPr id="6" name="直线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0pt;margin-top:3.2pt;height:0pt;width:450pt;z-index:251665408;mso-width-relative:page;mso-height-relative:page;" filled="f" stroked="t" coordsize="21600,21600" o:gfxdata="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bomirSAAAABAEAAA8AAAAAAAAAAQAgAAAAIgAAAGRy&#10;cy9kb3ducmV2LnhtbFBLAQIUABQAAAAIAIdO4kCUt7V60gEAAJsDAAAOAAAAAAAAAAEAIAAAACEB&#10;AABkcnMvZTJvRG9jLnhtbFBLBQYAAAAABgAGAFkBAABlBQAAAAA=&#10;">
                <v:fill on="f" focussize="0,0"/>
                <v:stroke color="#000000" joinstyle="round"/>
                <v:imagedata o:title=""/>
                <o:lock v:ext="edit" aspectratio="f"/>
              </v:line>
            </w:pict>
          </mc:Fallback>
        </mc:AlternateContent>
      </w:r>
      <w:r>
        <w:rPr>
          <w:rFonts w:hint="eastAsia" w:ascii="仿宋_GB2312" w:hAnsi="Calibri" w:eastAsia="仿宋_GB2312" w:cs="Times New Roman"/>
          <w:b w:val="0"/>
          <w:bCs w:val="0"/>
          <w:kern w:val="0"/>
          <w:sz w:val="28"/>
          <w:szCs w:val="28"/>
          <w:lang w:eastAsia="zh-CN" w:bidi="en-US"/>
        </w:rPr>
        <w:t>武汉市生态环境局办公室</w:t>
      </w:r>
      <w:r>
        <w:rPr>
          <w:rFonts w:ascii="仿宋_GB2312" w:hAnsi="Calibri" w:eastAsia="仿宋_GB2312" w:cs="Times New Roman"/>
          <w:b w:val="0"/>
          <w:bCs w:val="0"/>
          <w:kern w:val="0"/>
          <w:sz w:val="28"/>
          <w:szCs w:val="28"/>
          <w:lang w:eastAsia="zh-CN" w:bidi="en-US"/>
        </w:rPr>
        <w:t xml:space="preserve">   </w:t>
      </w:r>
      <w:r>
        <w:rPr>
          <w:rFonts w:hint="eastAsia" w:ascii="仿宋_GB2312" w:eastAsia="仿宋_GB2312" w:cs="Times New Roman"/>
          <w:b w:val="0"/>
          <w:bCs w:val="0"/>
          <w:kern w:val="0"/>
          <w:sz w:val="28"/>
          <w:szCs w:val="28"/>
          <w:lang w:val="en-US" w:eastAsia="zh-CN" w:bidi="en-US"/>
        </w:rPr>
        <w:t xml:space="preserve"> </w:t>
      </w:r>
      <w:r>
        <w:rPr>
          <w:rFonts w:ascii="仿宋_GB2312" w:hAnsi="Calibri" w:eastAsia="仿宋_GB2312" w:cs="Times New Roman"/>
          <w:b w:val="0"/>
          <w:bCs w:val="0"/>
          <w:kern w:val="0"/>
          <w:sz w:val="28"/>
          <w:szCs w:val="28"/>
          <w:lang w:eastAsia="zh-CN" w:bidi="en-US"/>
        </w:rPr>
        <w:t xml:space="preserve">             </w:t>
      </w:r>
      <w:r>
        <w:rPr>
          <w:rFonts w:hint="eastAsia" w:ascii="仿宋_GB2312" w:hAnsi="Calibri" w:eastAsia="仿宋_GB2312" w:cs="Times New Roman"/>
          <w:b w:val="0"/>
          <w:bCs w:val="0"/>
          <w:kern w:val="0"/>
          <w:sz w:val="28"/>
          <w:szCs w:val="28"/>
          <w:lang w:val="en-US" w:eastAsia="zh-CN" w:bidi="en-US"/>
        </w:rPr>
        <w:t xml:space="preserve"> </w:t>
      </w:r>
      <w:r>
        <w:rPr>
          <w:rFonts w:ascii="仿宋_GB2312" w:hAnsi="Calibri" w:eastAsia="仿宋_GB2312" w:cs="Times New Roman"/>
          <w:b w:val="0"/>
          <w:bCs w:val="0"/>
          <w:kern w:val="0"/>
          <w:sz w:val="28"/>
          <w:szCs w:val="28"/>
          <w:lang w:eastAsia="zh-CN" w:bidi="en-US"/>
        </w:rPr>
        <w:t xml:space="preserve"> </w:t>
      </w:r>
      <w:r>
        <w:rPr>
          <w:rFonts w:hint="eastAsia" w:ascii="仿宋_GB2312" w:hAnsi="Calibri" w:eastAsia="仿宋_GB2312" w:cs="Times New Roman"/>
          <w:b w:val="0"/>
          <w:bCs w:val="0"/>
          <w:kern w:val="0"/>
          <w:sz w:val="28"/>
          <w:szCs w:val="28"/>
          <w:lang w:val="en-US" w:eastAsia="zh-CN" w:bidi="en-US"/>
        </w:rPr>
        <w:t xml:space="preserve"> </w:t>
      </w:r>
      <w:r>
        <w:rPr>
          <w:rFonts w:ascii="仿宋_GB2312" w:hAnsi="Calibri" w:eastAsia="仿宋_GB2312" w:cs="Times New Roman"/>
          <w:b w:val="0"/>
          <w:bCs w:val="0"/>
          <w:kern w:val="0"/>
          <w:sz w:val="28"/>
          <w:szCs w:val="28"/>
          <w:lang w:eastAsia="zh-CN" w:bidi="en-US"/>
        </w:rPr>
        <w:t>20</w:t>
      </w:r>
      <w:r>
        <w:rPr>
          <w:rFonts w:hint="eastAsia" w:ascii="仿宋_GB2312" w:hAnsi="Calibri" w:eastAsia="仿宋_GB2312" w:cs="Times New Roman"/>
          <w:b w:val="0"/>
          <w:bCs w:val="0"/>
          <w:kern w:val="0"/>
          <w:sz w:val="28"/>
          <w:szCs w:val="28"/>
          <w:lang w:eastAsia="zh-CN" w:bidi="en-US"/>
        </w:rPr>
        <w:t>20年</w:t>
      </w:r>
      <w:r>
        <w:rPr>
          <w:rFonts w:hint="default" w:ascii="仿宋_GB2312" w:eastAsia="仿宋_GB2312" w:cs="Times New Roman"/>
          <w:b w:val="0"/>
          <w:bCs w:val="0"/>
          <w:kern w:val="0"/>
          <w:sz w:val="28"/>
          <w:szCs w:val="28"/>
          <w:lang w:val="en-US" w:eastAsia="zh-CN" w:bidi="en-US"/>
        </w:rPr>
        <w:t>1</w:t>
      </w:r>
      <w:r>
        <w:rPr>
          <w:rFonts w:hint="eastAsia" w:ascii="仿宋_GB2312" w:eastAsia="仿宋_GB2312" w:cs="Times New Roman"/>
          <w:b w:val="0"/>
          <w:bCs w:val="0"/>
          <w:kern w:val="0"/>
          <w:sz w:val="28"/>
          <w:szCs w:val="28"/>
          <w:lang w:val="en-US" w:eastAsia="zh-CN" w:bidi="en-US"/>
        </w:rPr>
        <w:t>1</w:t>
      </w:r>
      <w:r>
        <w:rPr>
          <w:rFonts w:hint="eastAsia" w:ascii="仿宋_GB2312" w:hAnsi="Calibri" w:eastAsia="仿宋_GB2312" w:cs="Times New Roman"/>
          <w:b w:val="0"/>
          <w:bCs w:val="0"/>
          <w:kern w:val="0"/>
          <w:sz w:val="28"/>
          <w:szCs w:val="28"/>
          <w:lang w:eastAsia="zh-CN" w:bidi="en-US"/>
        </w:rPr>
        <w:t>月</w:t>
      </w:r>
      <w:r>
        <w:rPr>
          <w:rFonts w:hint="eastAsia" w:ascii="仿宋_GB2312" w:hAnsi="Calibri" w:eastAsia="仿宋_GB2312" w:cs="Times New Roman"/>
          <w:b w:val="0"/>
          <w:bCs w:val="0"/>
          <w:kern w:val="0"/>
          <w:sz w:val="28"/>
          <w:szCs w:val="28"/>
          <w:lang w:val="en-US" w:eastAsia="zh-CN" w:bidi="en-US"/>
        </w:rPr>
        <w:t>1</w:t>
      </w:r>
      <w:r>
        <w:rPr>
          <w:rFonts w:hint="default" w:ascii="仿宋_GB2312" w:hAnsi="Calibri" w:eastAsia="仿宋_GB2312" w:cs="Times New Roman"/>
          <w:b w:val="0"/>
          <w:bCs w:val="0"/>
          <w:kern w:val="0"/>
          <w:sz w:val="28"/>
          <w:szCs w:val="28"/>
          <w:lang w:val="en-US" w:eastAsia="zh-CN" w:bidi="en-US"/>
        </w:rPr>
        <w:t>8</w:t>
      </w:r>
      <w:r>
        <w:rPr>
          <w:rFonts w:hint="eastAsia" w:ascii="仿宋_GB2312" w:hAnsi="Calibri" w:eastAsia="仿宋_GB2312" w:cs="Times New Roman"/>
          <w:b w:val="0"/>
          <w:bCs w:val="0"/>
          <w:kern w:val="0"/>
          <w:sz w:val="28"/>
          <w:szCs w:val="28"/>
          <w:lang w:val="en-US" w:eastAsia="zh-CN" w:bidi="en-US"/>
        </w:rPr>
        <w:t>日</w:t>
      </w:r>
      <w:r>
        <w:rPr>
          <w:rFonts w:hint="eastAsia" w:ascii="仿宋_GB2312" w:hAnsi="Calibri" w:eastAsia="仿宋_GB2312" w:cs="Times New Roman"/>
          <w:b w:val="0"/>
          <w:bCs w:val="0"/>
          <w:kern w:val="0"/>
          <w:sz w:val="28"/>
          <w:szCs w:val="28"/>
          <w:lang w:eastAsia="zh-CN" w:bidi="en-US"/>
        </w:rPr>
        <w:t>印发</w:t>
      </w:r>
    </w:p>
    <w:p>
      <w:pPr>
        <w:keepNext w:val="0"/>
        <w:keepLines w:val="0"/>
        <w:pageBreakBefore w:val="0"/>
        <w:widowControl/>
        <w:tabs>
          <w:tab w:val="left" w:pos="2880"/>
        </w:tabs>
        <w:kinsoku/>
        <w:wordWrap/>
        <w:overflowPunct/>
        <w:topLinePunct w:val="0"/>
        <w:autoSpaceDE/>
        <w:autoSpaceDN/>
        <w:bidi w:val="0"/>
        <w:adjustRightInd/>
        <w:snapToGrid/>
        <w:spacing w:after="0" w:line="200" w:lineRule="exact"/>
        <w:jc w:val="left"/>
        <w:textAlignment w:val="auto"/>
        <w:outlineLvl w:val="9"/>
        <w:rPr>
          <w:rFonts w:hint="eastAsia" w:ascii="仿宋" w:hAnsi="仿宋" w:eastAsia="仿宋" w:cs="仿宋_GB2312"/>
          <w:b w:val="0"/>
          <w:bCs w:val="0"/>
          <w:color w:val="000000"/>
          <w:sz w:val="32"/>
          <w:szCs w:val="32"/>
        </w:rPr>
      </w:pPr>
      <w:r>
        <w:rPr>
          <w:rFonts w:ascii="Calibri" w:hAnsi="Calibri" w:eastAsia="宋体" w:cs="Times New Roman"/>
          <w:kern w:val="0"/>
          <w:sz w:val="22"/>
          <w:szCs w:val="22"/>
          <w:lang w:eastAsia="zh-CN" w:bidi="en-US"/>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58420</wp:posOffset>
                </wp:positionV>
                <wp:extent cx="5715000" cy="0"/>
                <wp:effectExtent l="0" t="0" r="0" b="0"/>
                <wp:wrapNone/>
                <wp:docPr id="7" name="直线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4.6pt;height:0pt;width:450pt;z-index:251667456;mso-width-relative:page;mso-height-relative:page;" filled="f" stroked="t" coordsize="21600,21600" o:gfxdata="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HseK9EAAAAEAQAADwAAAAAAAAABACAAAAAiAAAAZHJz&#10;L2Rvd25yZXYueG1sUEsBAhQAFAAAAAgAh07iQGkpz73SAQAAmwMAAA4AAAAAAAAAAQAgAAAAIAEA&#10;AGRycy9lMm9Eb2MueG1sUEsFBgAAAAAGAAYAWQEAAGQFAAAAAA==&#10;">
                <v:fill on="f" focussize="0,0"/>
                <v:stroke color="#000000" joinstyle="round"/>
                <v:imagedata o:title=""/>
                <o:lock v:ext="edit" aspectratio="f"/>
              </v:line>
            </w:pict>
          </mc:Fallback>
        </mc:AlternateContent>
      </w:r>
    </w:p>
    <w:sectPr>
      <w:headerReference r:id="rId3" w:type="default"/>
      <w:footerReference r:id="rId4" w:type="default"/>
      <w:footerReference r:id="rId5" w:type="even"/>
      <w:pgSz w:w="11906" w:h="16838"/>
      <w:pgMar w:top="1531" w:right="1474" w:bottom="1417" w:left="1587" w:header="851" w:footer="1162" w:gutter="0"/>
      <w:pgBorders>
        <w:top w:val="none" w:sz="0" w:space="0"/>
        <w:left w:val="none" w:sz="0" w:space="0"/>
        <w:bottom w:val="none" w:sz="0" w:space="0"/>
        <w:right w:val="none" w:sz="0" w:space="0"/>
      </w:pgBorders>
      <w:pgNumType w:fmt="numberInDash"/>
      <w:cols w:space="0" w:num="1"/>
      <w:rtlGutter w:val="0"/>
      <w:docGrid w:type="lines" w:linePitch="5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b w:val="0"/>
        <w:bCs w:val="0"/>
        <w:sz w:val="24"/>
        <w:szCs w:val="24"/>
      </w:rPr>
      <w:fldChar w:fldCharType="begin"/>
    </w:r>
    <w:r>
      <w:rPr>
        <w:rFonts w:hint="eastAsia" w:asciiTheme="majorEastAsia" w:hAnsiTheme="majorEastAsia" w:eastAsiaTheme="majorEastAsia" w:cstheme="majorEastAsia"/>
        <w:b w:val="0"/>
        <w:bCs w:val="0"/>
        <w:sz w:val="24"/>
        <w:szCs w:val="24"/>
      </w:rPr>
      <w:instrText xml:space="preserve">PAGE   \* MERGEFORMAT</w:instrText>
    </w:r>
    <w:r>
      <w:rPr>
        <w:rFonts w:hint="eastAsia" w:asciiTheme="majorEastAsia" w:hAnsiTheme="majorEastAsia" w:eastAsiaTheme="majorEastAsia" w:cstheme="majorEastAsia"/>
        <w:b w:val="0"/>
        <w:bCs w:val="0"/>
        <w:sz w:val="24"/>
        <w:szCs w:val="24"/>
      </w:rPr>
      <w:fldChar w:fldCharType="separate"/>
    </w:r>
    <w:r>
      <w:rPr>
        <w:rFonts w:hint="eastAsia" w:asciiTheme="majorEastAsia" w:hAnsiTheme="majorEastAsia" w:eastAsiaTheme="majorEastAsia" w:cstheme="majorEastAsia"/>
        <w:b w:val="0"/>
        <w:bCs w:val="0"/>
        <w:sz w:val="24"/>
        <w:szCs w:val="24"/>
        <w:lang w:val="zh-CN"/>
      </w:rPr>
      <w:t>-</w:t>
    </w:r>
    <w:r>
      <w:rPr>
        <w:rFonts w:hint="eastAsia" w:asciiTheme="majorEastAsia" w:hAnsiTheme="majorEastAsia" w:eastAsiaTheme="majorEastAsia" w:cstheme="majorEastAsia"/>
        <w:b w:val="0"/>
        <w:bCs w:val="0"/>
        <w:sz w:val="24"/>
        <w:szCs w:val="24"/>
      </w:rPr>
      <w:t xml:space="preserve"> 3 -</w:t>
    </w:r>
    <w:r>
      <w:rPr>
        <w:rFonts w:hint="eastAsia" w:asciiTheme="majorEastAsia" w:hAnsiTheme="majorEastAsia" w:eastAsiaTheme="majorEastAsia" w:cstheme="majorEastAsia"/>
        <w:b w:val="0"/>
        <w:bCs w:val="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sz w:val="28"/>
        <w:szCs w:val="28"/>
        <w:lang w:eastAsia="zh-CN"/>
      </w:rPr>
    </w:pP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   \* MERGEFORMAT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lang w:val="zh-CN"/>
      </w:rPr>
      <w:t>-</w:t>
    </w:r>
    <w:r>
      <w:rPr>
        <w:rFonts w:hint="eastAsia" w:asciiTheme="minorEastAsia" w:hAnsiTheme="minorEastAsia" w:eastAsiaTheme="minorEastAsia" w:cstheme="minorEastAsia"/>
        <w:b w:val="0"/>
        <w:bCs w:val="0"/>
        <w:sz w:val="24"/>
        <w:szCs w:val="24"/>
      </w:rPr>
      <w:t xml:space="preserve"> 4 -</w:t>
    </w:r>
    <w:r>
      <w:rPr>
        <w:rFonts w:hint="eastAsia" w:asciiTheme="minorEastAsia" w:hAnsiTheme="minorEastAsia" w:eastAsiaTheme="minorEastAsia" w:cstheme="minorEastAsia"/>
        <w:b w:val="0"/>
        <w:bCs w:val="0"/>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20"/>
  <w:drawingGridVerticalSpacing w:val="59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07F"/>
    <w:rsid w:val="00016B88"/>
    <w:rsid w:val="00020F2D"/>
    <w:rsid w:val="000233EB"/>
    <w:rsid w:val="00024DF4"/>
    <w:rsid w:val="000274AB"/>
    <w:rsid w:val="00027A16"/>
    <w:rsid w:val="000357B1"/>
    <w:rsid w:val="00044D0D"/>
    <w:rsid w:val="00045162"/>
    <w:rsid w:val="00047404"/>
    <w:rsid w:val="00047C32"/>
    <w:rsid w:val="00050A6E"/>
    <w:rsid w:val="00051E5B"/>
    <w:rsid w:val="00054405"/>
    <w:rsid w:val="000544C6"/>
    <w:rsid w:val="00055C98"/>
    <w:rsid w:val="000561F7"/>
    <w:rsid w:val="0005698B"/>
    <w:rsid w:val="00060DD6"/>
    <w:rsid w:val="00064A38"/>
    <w:rsid w:val="00067BDC"/>
    <w:rsid w:val="00071E6A"/>
    <w:rsid w:val="00080C23"/>
    <w:rsid w:val="00084E43"/>
    <w:rsid w:val="00087BBB"/>
    <w:rsid w:val="0009798F"/>
    <w:rsid w:val="000A3FF0"/>
    <w:rsid w:val="000A6A52"/>
    <w:rsid w:val="000B022E"/>
    <w:rsid w:val="000B3C45"/>
    <w:rsid w:val="000C3F91"/>
    <w:rsid w:val="000C48E9"/>
    <w:rsid w:val="000C7243"/>
    <w:rsid w:val="000D0A6D"/>
    <w:rsid w:val="000E1E75"/>
    <w:rsid w:val="000E5B38"/>
    <w:rsid w:val="000F6AE8"/>
    <w:rsid w:val="00100ABA"/>
    <w:rsid w:val="0010111B"/>
    <w:rsid w:val="0010652F"/>
    <w:rsid w:val="00106F0D"/>
    <w:rsid w:val="00110A6D"/>
    <w:rsid w:val="00111A0C"/>
    <w:rsid w:val="00112486"/>
    <w:rsid w:val="00116292"/>
    <w:rsid w:val="0013484A"/>
    <w:rsid w:val="0014187E"/>
    <w:rsid w:val="00144071"/>
    <w:rsid w:val="00144320"/>
    <w:rsid w:val="00144F83"/>
    <w:rsid w:val="00147A71"/>
    <w:rsid w:val="001514F9"/>
    <w:rsid w:val="00151A37"/>
    <w:rsid w:val="00155650"/>
    <w:rsid w:val="00165DF4"/>
    <w:rsid w:val="00167D33"/>
    <w:rsid w:val="001736D5"/>
    <w:rsid w:val="0017557D"/>
    <w:rsid w:val="001779CC"/>
    <w:rsid w:val="00181339"/>
    <w:rsid w:val="00191B8F"/>
    <w:rsid w:val="00196380"/>
    <w:rsid w:val="001A146C"/>
    <w:rsid w:val="001A40BC"/>
    <w:rsid w:val="001A7B46"/>
    <w:rsid w:val="001A7E8D"/>
    <w:rsid w:val="001B2508"/>
    <w:rsid w:val="001B3633"/>
    <w:rsid w:val="001C258C"/>
    <w:rsid w:val="001C416E"/>
    <w:rsid w:val="001C5DDE"/>
    <w:rsid w:val="001D20EE"/>
    <w:rsid w:val="001D2417"/>
    <w:rsid w:val="001F0A7E"/>
    <w:rsid w:val="001F22B9"/>
    <w:rsid w:val="001F65ED"/>
    <w:rsid w:val="00202222"/>
    <w:rsid w:val="002061B6"/>
    <w:rsid w:val="00207D93"/>
    <w:rsid w:val="002214F9"/>
    <w:rsid w:val="0022520F"/>
    <w:rsid w:val="00233B66"/>
    <w:rsid w:val="00236C94"/>
    <w:rsid w:val="00245D75"/>
    <w:rsid w:val="00246DF3"/>
    <w:rsid w:val="00246E6C"/>
    <w:rsid w:val="00247FD4"/>
    <w:rsid w:val="0025040F"/>
    <w:rsid w:val="00251333"/>
    <w:rsid w:val="002529DD"/>
    <w:rsid w:val="00253FB9"/>
    <w:rsid w:val="00261AE1"/>
    <w:rsid w:val="00263ABE"/>
    <w:rsid w:val="0026502C"/>
    <w:rsid w:val="00265B3F"/>
    <w:rsid w:val="00277E87"/>
    <w:rsid w:val="00280772"/>
    <w:rsid w:val="00281ED7"/>
    <w:rsid w:val="0028705A"/>
    <w:rsid w:val="002904C4"/>
    <w:rsid w:val="002948FA"/>
    <w:rsid w:val="002971EE"/>
    <w:rsid w:val="002A0EDA"/>
    <w:rsid w:val="002A13FE"/>
    <w:rsid w:val="002A1BDF"/>
    <w:rsid w:val="002A1EFC"/>
    <w:rsid w:val="002A4241"/>
    <w:rsid w:val="002A62AA"/>
    <w:rsid w:val="002B2BCD"/>
    <w:rsid w:val="002B5B68"/>
    <w:rsid w:val="002C66A8"/>
    <w:rsid w:val="002C67B0"/>
    <w:rsid w:val="002D0B99"/>
    <w:rsid w:val="002D4967"/>
    <w:rsid w:val="002E4661"/>
    <w:rsid w:val="002F6937"/>
    <w:rsid w:val="002F6DE3"/>
    <w:rsid w:val="00301A41"/>
    <w:rsid w:val="0030367E"/>
    <w:rsid w:val="0030373E"/>
    <w:rsid w:val="00306962"/>
    <w:rsid w:val="00306AFF"/>
    <w:rsid w:val="003105D3"/>
    <w:rsid w:val="003144A2"/>
    <w:rsid w:val="003174D1"/>
    <w:rsid w:val="00317BDE"/>
    <w:rsid w:val="00323358"/>
    <w:rsid w:val="003368FF"/>
    <w:rsid w:val="00336F1E"/>
    <w:rsid w:val="0033716E"/>
    <w:rsid w:val="00350204"/>
    <w:rsid w:val="0035478B"/>
    <w:rsid w:val="00356FCE"/>
    <w:rsid w:val="003655CD"/>
    <w:rsid w:val="00367513"/>
    <w:rsid w:val="0037695A"/>
    <w:rsid w:val="0038216A"/>
    <w:rsid w:val="003858DA"/>
    <w:rsid w:val="00390536"/>
    <w:rsid w:val="003A58A5"/>
    <w:rsid w:val="003A58BF"/>
    <w:rsid w:val="003A5AD7"/>
    <w:rsid w:val="003C714D"/>
    <w:rsid w:val="003C7E85"/>
    <w:rsid w:val="003D118E"/>
    <w:rsid w:val="003D2E78"/>
    <w:rsid w:val="003D40F5"/>
    <w:rsid w:val="003E30F8"/>
    <w:rsid w:val="003E6295"/>
    <w:rsid w:val="003F21E9"/>
    <w:rsid w:val="003F3B17"/>
    <w:rsid w:val="003F56BF"/>
    <w:rsid w:val="003F66E7"/>
    <w:rsid w:val="004064D9"/>
    <w:rsid w:val="00423781"/>
    <w:rsid w:val="00433809"/>
    <w:rsid w:val="00436CE0"/>
    <w:rsid w:val="004449BF"/>
    <w:rsid w:val="004478EE"/>
    <w:rsid w:val="00451102"/>
    <w:rsid w:val="00451446"/>
    <w:rsid w:val="00451D50"/>
    <w:rsid w:val="0045220D"/>
    <w:rsid w:val="0045221B"/>
    <w:rsid w:val="004569B5"/>
    <w:rsid w:val="004701EF"/>
    <w:rsid w:val="00470990"/>
    <w:rsid w:val="00474B01"/>
    <w:rsid w:val="004816AA"/>
    <w:rsid w:val="0048217F"/>
    <w:rsid w:val="00482FD3"/>
    <w:rsid w:val="004830A9"/>
    <w:rsid w:val="00486F1D"/>
    <w:rsid w:val="004878AD"/>
    <w:rsid w:val="00490530"/>
    <w:rsid w:val="004921BF"/>
    <w:rsid w:val="00493064"/>
    <w:rsid w:val="00493C20"/>
    <w:rsid w:val="00496160"/>
    <w:rsid w:val="004A55BB"/>
    <w:rsid w:val="004A7F6A"/>
    <w:rsid w:val="004A7F91"/>
    <w:rsid w:val="004B334A"/>
    <w:rsid w:val="004B5221"/>
    <w:rsid w:val="004C0C85"/>
    <w:rsid w:val="004C3673"/>
    <w:rsid w:val="004C7EC8"/>
    <w:rsid w:val="004D0AA7"/>
    <w:rsid w:val="004D1435"/>
    <w:rsid w:val="004D1B4E"/>
    <w:rsid w:val="004D2EFF"/>
    <w:rsid w:val="004D3FAA"/>
    <w:rsid w:val="004E08B9"/>
    <w:rsid w:val="004E4AFA"/>
    <w:rsid w:val="004F5AC4"/>
    <w:rsid w:val="005014F8"/>
    <w:rsid w:val="00501956"/>
    <w:rsid w:val="005030E1"/>
    <w:rsid w:val="005049A9"/>
    <w:rsid w:val="00504D77"/>
    <w:rsid w:val="005055EA"/>
    <w:rsid w:val="00506A9B"/>
    <w:rsid w:val="005153D6"/>
    <w:rsid w:val="00517DAB"/>
    <w:rsid w:val="00521EAC"/>
    <w:rsid w:val="005223EA"/>
    <w:rsid w:val="0052461C"/>
    <w:rsid w:val="0052481D"/>
    <w:rsid w:val="00525C49"/>
    <w:rsid w:val="0053325C"/>
    <w:rsid w:val="00540A0E"/>
    <w:rsid w:val="005415AF"/>
    <w:rsid w:val="00544E18"/>
    <w:rsid w:val="0055413D"/>
    <w:rsid w:val="00554A58"/>
    <w:rsid w:val="00561D7A"/>
    <w:rsid w:val="00563D94"/>
    <w:rsid w:val="00567A3E"/>
    <w:rsid w:val="00573313"/>
    <w:rsid w:val="00575ECA"/>
    <w:rsid w:val="00577AD0"/>
    <w:rsid w:val="00580A03"/>
    <w:rsid w:val="00581E71"/>
    <w:rsid w:val="00587C95"/>
    <w:rsid w:val="00590C1C"/>
    <w:rsid w:val="005938C7"/>
    <w:rsid w:val="00596258"/>
    <w:rsid w:val="00597A99"/>
    <w:rsid w:val="005B4D29"/>
    <w:rsid w:val="005B5C41"/>
    <w:rsid w:val="005C0BA1"/>
    <w:rsid w:val="005C4DFB"/>
    <w:rsid w:val="005C5F98"/>
    <w:rsid w:val="005D4B5F"/>
    <w:rsid w:val="005D5826"/>
    <w:rsid w:val="005E00E2"/>
    <w:rsid w:val="005E44FD"/>
    <w:rsid w:val="005F58F1"/>
    <w:rsid w:val="00601904"/>
    <w:rsid w:val="0061325A"/>
    <w:rsid w:val="00621F1B"/>
    <w:rsid w:val="006312C7"/>
    <w:rsid w:val="006321E8"/>
    <w:rsid w:val="00633709"/>
    <w:rsid w:val="00637D38"/>
    <w:rsid w:val="00641CFE"/>
    <w:rsid w:val="0064322A"/>
    <w:rsid w:val="006473A0"/>
    <w:rsid w:val="006473D9"/>
    <w:rsid w:val="006503AA"/>
    <w:rsid w:val="00652047"/>
    <w:rsid w:val="00655801"/>
    <w:rsid w:val="00656A1C"/>
    <w:rsid w:val="00661B3E"/>
    <w:rsid w:val="006635EE"/>
    <w:rsid w:val="00664C86"/>
    <w:rsid w:val="00665299"/>
    <w:rsid w:val="006655E2"/>
    <w:rsid w:val="00674884"/>
    <w:rsid w:val="00677400"/>
    <w:rsid w:val="0067770A"/>
    <w:rsid w:val="00680145"/>
    <w:rsid w:val="00687291"/>
    <w:rsid w:val="006923E1"/>
    <w:rsid w:val="00693226"/>
    <w:rsid w:val="0069443D"/>
    <w:rsid w:val="006A3668"/>
    <w:rsid w:val="006A54FC"/>
    <w:rsid w:val="006B42C4"/>
    <w:rsid w:val="006C5CA0"/>
    <w:rsid w:val="006C66F6"/>
    <w:rsid w:val="006D61BE"/>
    <w:rsid w:val="006D6472"/>
    <w:rsid w:val="006E2C44"/>
    <w:rsid w:val="006E432D"/>
    <w:rsid w:val="006F3C00"/>
    <w:rsid w:val="006F54E6"/>
    <w:rsid w:val="006F58BE"/>
    <w:rsid w:val="00704E4D"/>
    <w:rsid w:val="0071772B"/>
    <w:rsid w:val="00726542"/>
    <w:rsid w:val="00733368"/>
    <w:rsid w:val="007361A2"/>
    <w:rsid w:val="007409CD"/>
    <w:rsid w:val="0074181B"/>
    <w:rsid w:val="00742540"/>
    <w:rsid w:val="007446F3"/>
    <w:rsid w:val="0074550F"/>
    <w:rsid w:val="0074565B"/>
    <w:rsid w:val="00745746"/>
    <w:rsid w:val="00752DFE"/>
    <w:rsid w:val="007538DC"/>
    <w:rsid w:val="00756BB2"/>
    <w:rsid w:val="0076117A"/>
    <w:rsid w:val="007614D6"/>
    <w:rsid w:val="007702C6"/>
    <w:rsid w:val="00775191"/>
    <w:rsid w:val="0077702A"/>
    <w:rsid w:val="00781119"/>
    <w:rsid w:val="007855FA"/>
    <w:rsid w:val="00791B06"/>
    <w:rsid w:val="00796FCC"/>
    <w:rsid w:val="007A023B"/>
    <w:rsid w:val="007A2EB0"/>
    <w:rsid w:val="007A4F71"/>
    <w:rsid w:val="007A5F45"/>
    <w:rsid w:val="007B3CE2"/>
    <w:rsid w:val="007B7ECC"/>
    <w:rsid w:val="007C44EC"/>
    <w:rsid w:val="007C7378"/>
    <w:rsid w:val="007C7609"/>
    <w:rsid w:val="007D51E1"/>
    <w:rsid w:val="007D6A7F"/>
    <w:rsid w:val="007E0F90"/>
    <w:rsid w:val="007E619D"/>
    <w:rsid w:val="007F05A4"/>
    <w:rsid w:val="007F2A3E"/>
    <w:rsid w:val="007F3703"/>
    <w:rsid w:val="007F79C4"/>
    <w:rsid w:val="0080098B"/>
    <w:rsid w:val="0080574B"/>
    <w:rsid w:val="008106AE"/>
    <w:rsid w:val="008160C2"/>
    <w:rsid w:val="00817FB8"/>
    <w:rsid w:val="0082516C"/>
    <w:rsid w:val="00827E7A"/>
    <w:rsid w:val="00833D03"/>
    <w:rsid w:val="0084105C"/>
    <w:rsid w:val="008518F2"/>
    <w:rsid w:val="00857905"/>
    <w:rsid w:val="0086109D"/>
    <w:rsid w:val="0086132C"/>
    <w:rsid w:val="00863A04"/>
    <w:rsid w:val="008657DA"/>
    <w:rsid w:val="00867A83"/>
    <w:rsid w:val="008779B0"/>
    <w:rsid w:val="00890F59"/>
    <w:rsid w:val="00893F1D"/>
    <w:rsid w:val="0089495C"/>
    <w:rsid w:val="00894DAB"/>
    <w:rsid w:val="008A0357"/>
    <w:rsid w:val="008A7061"/>
    <w:rsid w:val="008B236A"/>
    <w:rsid w:val="008C104C"/>
    <w:rsid w:val="008C1E09"/>
    <w:rsid w:val="008C7F2E"/>
    <w:rsid w:val="008C7FBC"/>
    <w:rsid w:val="008D045B"/>
    <w:rsid w:val="008D0FA9"/>
    <w:rsid w:val="008D1C21"/>
    <w:rsid w:val="008D4E84"/>
    <w:rsid w:val="008E7B40"/>
    <w:rsid w:val="008F1AD6"/>
    <w:rsid w:val="008F4FBD"/>
    <w:rsid w:val="00900C6D"/>
    <w:rsid w:val="00905EF4"/>
    <w:rsid w:val="009123B0"/>
    <w:rsid w:val="00912CD7"/>
    <w:rsid w:val="00912E4F"/>
    <w:rsid w:val="00915ECB"/>
    <w:rsid w:val="00916D6F"/>
    <w:rsid w:val="0092430F"/>
    <w:rsid w:val="009450F5"/>
    <w:rsid w:val="00945802"/>
    <w:rsid w:val="00945F25"/>
    <w:rsid w:val="009460C6"/>
    <w:rsid w:val="00946222"/>
    <w:rsid w:val="009462FF"/>
    <w:rsid w:val="009474A1"/>
    <w:rsid w:val="00947F08"/>
    <w:rsid w:val="0095032D"/>
    <w:rsid w:val="00952F1B"/>
    <w:rsid w:val="00955552"/>
    <w:rsid w:val="00955F04"/>
    <w:rsid w:val="009625D8"/>
    <w:rsid w:val="0097133C"/>
    <w:rsid w:val="00973A0F"/>
    <w:rsid w:val="00973E99"/>
    <w:rsid w:val="00975746"/>
    <w:rsid w:val="00976012"/>
    <w:rsid w:val="0097755F"/>
    <w:rsid w:val="00977E72"/>
    <w:rsid w:val="00980A4F"/>
    <w:rsid w:val="00982B3B"/>
    <w:rsid w:val="009840E6"/>
    <w:rsid w:val="00984DA1"/>
    <w:rsid w:val="00986DFB"/>
    <w:rsid w:val="00990066"/>
    <w:rsid w:val="00990B7F"/>
    <w:rsid w:val="0099683B"/>
    <w:rsid w:val="009A2708"/>
    <w:rsid w:val="009A2E73"/>
    <w:rsid w:val="009A7497"/>
    <w:rsid w:val="009B328E"/>
    <w:rsid w:val="009B33F3"/>
    <w:rsid w:val="009B7B92"/>
    <w:rsid w:val="009C02B3"/>
    <w:rsid w:val="009C4869"/>
    <w:rsid w:val="009D1532"/>
    <w:rsid w:val="009D2E79"/>
    <w:rsid w:val="009D3884"/>
    <w:rsid w:val="009E0004"/>
    <w:rsid w:val="009E0210"/>
    <w:rsid w:val="009E44A7"/>
    <w:rsid w:val="009F7373"/>
    <w:rsid w:val="00A017B4"/>
    <w:rsid w:val="00A06E35"/>
    <w:rsid w:val="00A075C5"/>
    <w:rsid w:val="00A113BB"/>
    <w:rsid w:val="00A21422"/>
    <w:rsid w:val="00A2320E"/>
    <w:rsid w:val="00A2583D"/>
    <w:rsid w:val="00A36385"/>
    <w:rsid w:val="00A43A7E"/>
    <w:rsid w:val="00A43FCD"/>
    <w:rsid w:val="00A464FB"/>
    <w:rsid w:val="00A479A8"/>
    <w:rsid w:val="00A50B91"/>
    <w:rsid w:val="00A56110"/>
    <w:rsid w:val="00A62167"/>
    <w:rsid w:val="00A65B33"/>
    <w:rsid w:val="00A66623"/>
    <w:rsid w:val="00A7691A"/>
    <w:rsid w:val="00A8116D"/>
    <w:rsid w:val="00A85A80"/>
    <w:rsid w:val="00AA30CE"/>
    <w:rsid w:val="00AA6FC8"/>
    <w:rsid w:val="00AA72A8"/>
    <w:rsid w:val="00AC4F79"/>
    <w:rsid w:val="00AD1EB6"/>
    <w:rsid w:val="00AD3973"/>
    <w:rsid w:val="00AD4B28"/>
    <w:rsid w:val="00AD7E79"/>
    <w:rsid w:val="00AF24E9"/>
    <w:rsid w:val="00AF69C0"/>
    <w:rsid w:val="00B03AFA"/>
    <w:rsid w:val="00B072E9"/>
    <w:rsid w:val="00B100EA"/>
    <w:rsid w:val="00B153CF"/>
    <w:rsid w:val="00B220CC"/>
    <w:rsid w:val="00B26F3D"/>
    <w:rsid w:val="00B30B66"/>
    <w:rsid w:val="00B31C52"/>
    <w:rsid w:val="00B369A4"/>
    <w:rsid w:val="00B37131"/>
    <w:rsid w:val="00B3774A"/>
    <w:rsid w:val="00B4122F"/>
    <w:rsid w:val="00B5414B"/>
    <w:rsid w:val="00B561A9"/>
    <w:rsid w:val="00B576BA"/>
    <w:rsid w:val="00B605AD"/>
    <w:rsid w:val="00B621FE"/>
    <w:rsid w:val="00B622B7"/>
    <w:rsid w:val="00B65EBF"/>
    <w:rsid w:val="00B6700B"/>
    <w:rsid w:val="00B710CF"/>
    <w:rsid w:val="00B776A7"/>
    <w:rsid w:val="00B854D1"/>
    <w:rsid w:val="00BA0A13"/>
    <w:rsid w:val="00BB2D45"/>
    <w:rsid w:val="00BB3E6B"/>
    <w:rsid w:val="00BB5EFC"/>
    <w:rsid w:val="00BC68B9"/>
    <w:rsid w:val="00BD1E8A"/>
    <w:rsid w:val="00BD66A5"/>
    <w:rsid w:val="00BE1D7E"/>
    <w:rsid w:val="00BE6508"/>
    <w:rsid w:val="00BF11EB"/>
    <w:rsid w:val="00BF5127"/>
    <w:rsid w:val="00BF7C60"/>
    <w:rsid w:val="00C01A45"/>
    <w:rsid w:val="00C03B4F"/>
    <w:rsid w:val="00C11BF3"/>
    <w:rsid w:val="00C12B8D"/>
    <w:rsid w:val="00C12C3E"/>
    <w:rsid w:val="00C2118A"/>
    <w:rsid w:val="00C21D25"/>
    <w:rsid w:val="00C2428E"/>
    <w:rsid w:val="00C24FD9"/>
    <w:rsid w:val="00C407A4"/>
    <w:rsid w:val="00C43265"/>
    <w:rsid w:val="00C464AB"/>
    <w:rsid w:val="00C50BE4"/>
    <w:rsid w:val="00C52A44"/>
    <w:rsid w:val="00C5375B"/>
    <w:rsid w:val="00C54AB8"/>
    <w:rsid w:val="00C60071"/>
    <w:rsid w:val="00C62A97"/>
    <w:rsid w:val="00C647CB"/>
    <w:rsid w:val="00C7042D"/>
    <w:rsid w:val="00C71D33"/>
    <w:rsid w:val="00C80346"/>
    <w:rsid w:val="00C84BF1"/>
    <w:rsid w:val="00C8654C"/>
    <w:rsid w:val="00C92A31"/>
    <w:rsid w:val="00C954A5"/>
    <w:rsid w:val="00C95A3A"/>
    <w:rsid w:val="00CA47E9"/>
    <w:rsid w:val="00CA4EED"/>
    <w:rsid w:val="00CA4F9F"/>
    <w:rsid w:val="00CA584E"/>
    <w:rsid w:val="00CA6C83"/>
    <w:rsid w:val="00CA759D"/>
    <w:rsid w:val="00CB25A1"/>
    <w:rsid w:val="00CC5951"/>
    <w:rsid w:val="00CD72E0"/>
    <w:rsid w:val="00CE5778"/>
    <w:rsid w:val="00CE6FF6"/>
    <w:rsid w:val="00CF2094"/>
    <w:rsid w:val="00CF3DFB"/>
    <w:rsid w:val="00CF4AB4"/>
    <w:rsid w:val="00CF6D3A"/>
    <w:rsid w:val="00D004B8"/>
    <w:rsid w:val="00D04A5D"/>
    <w:rsid w:val="00D16E18"/>
    <w:rsid w:val="00D2041B"/>
    <w:rsid w:val="00D210DE"/>
    <w:rsid w:val="00D26E08"/>
    <w:rsid w:val="00D31FFD"/>
    <w:rsid w:val="00D379F5"/>
    <w:rsid w:val="00D40181"/>
    <w:rsid w:val="00D42261"/>
    <w:rsid w:val="00D428A1"/>
    <w:rsid w:val="00D4352B"/>
    <w:rsid w:val="00D53EBD"/>
    <w:rsid w:val="00D54B5A"/>
    <w:rsid w:val="00D56275"/>
    <w:rsid w:val="00D5686A"/>
    <w:rsid w:val="00D63C3F"/>
    <w:rsid w:val="00D64342"/>
    <w:rsid w:val="00D7537C"/>
    <w:rsid w:val="00D80044"/>
    <w:rsid w:val="00D96934"/>
    <w:rsid w:val="00D97156"/>
    <w:rsid w:val="00DA34EE"/>
    <w:rsid w:val="00DA5A28"/>
    <w:rsid w:val="00DC4570"/>
    <w:rsid w:val="00DC6FAA"/>
    <w:rsid w:val="00DD067D"/>
    <w:rsid w:val="00DD301F"/>
    <w:rsid w:val="00DD426C"/>
    <w:rsid w:val="00DD5D6C"/>
    <w:rsid w:val="00DE346D"/>
    <w:rsid w:val="00DE3CEC"/>
    <w:rsid w:val="00DE44CC"/>
    <w:rsid w:val="00DE47E8"/>
    <w:rsid w:val="00DE5BA2"/>
    <w:rsid w:val="00DE641A"/>
    <w:rsid w:val="00DE6737"/>
    <w:rsid w:val="00DF3917"/>
    <w:rsid w:val="00E0440B"/>
    <w:rsid w:val="00E120EA"/>
    <w:rsid w:val="00E14F47"/>
    <w:rsid w:val="00E2013D"/>
    <w:rsid w:val="00E212BF"/>
    <w:rsid w:val="00E24193"/>
    <w:rsid w:val="00E307B2"/>
    <w:rsid w:val="00E33720"/>
    <w:rsid w:val="00E34ACA"/>
    <w:rsid w:val="00E36630"/>
    <w:rsid w:val="00E504A9"/>
    <w:rsid w:val="00E51602"/>
    <w:rsid w:val="00E5310D"/>
    <w:rsid w:val="00E56580"/>
    <w:rsid w:val="00E61E4A"/>
    <w:rsid w:val="00E63BB1"/>
    <w:rsid w:val="00E64300"/>
    <w:rsid w:val="00E65EBF"/>
    <w:rsid w:val="00E737CA"/>
    <w:rsid w:val="00E737DF"/>
    <w:rsid w:val="00E75BFD"/>
    <w:rsid w:val="00E768F8"/>
    <w:rsid w:val="00E87E19"/>
    <w:rsid w:val="00E90705"/>
    <w:rsid w:val="00E936DF"/>
    <w:rsid w:val="00E95147"/>
    <w:rsid w:val="00EA5136"/>
    <w:rsid w:val="00EA5333"/>
    <w:rsid w:val="00EB35C1"/>
    <w:rsid w:val="00EB42BC"/>
    <w:rsid w:val="00EB42E0"/>
    <w:rsid w:val="00EB485E"/>
    <w:rsid w:val="00EB4E8F"/>
    <w:rsid w:val="00EC488C"/>
    <w:rsid w:val="00EC5009"/>
    <w:rsid w:val="00EC635E"/>
    <w:rsid w:val="00EC6591"/>
    <w:rsid w:val="00EE1052"/>
    <w:rsid w:val="00EE10E3"/>
    <w:rsid w:val="00EF2E18"/>
    <w:rsid w:val="00EF5607"/>
    <w:rsid w:val="00EF580A"/>
    <w:rsid w:val="00F00FB5"/>
    <w:rsid w:val="00F04EA5"/>
    <w:rsid w:val="00F32BFC"/>
    <w:rsid w:val="00F4225A"/>
    <w:rsid w:val="00F47C01"/>
    <w:rsid w:val="00F47D1D"/>
    <w:rsid w:val="00F5181B"/>
    <w:rsid w:val="00F518E9"/>
    <w:rsid w:val="00F52391"/>
    <w:rsid w:val="00F528C5"/>
    <w:rsid w:val="00F53202"/>
    <w:rsid w:val="00F54905"/>
    <w:rsid w:val="00F57D2F"/>
    <w:rsid w:val="00F64E58"/>
    <w:rsid w:val="00F65218"/>
    <w:rsid w:val="00F74D33"/>
    <w:rsid w:val="00F759F7"/>
    <w:rsid w:val="00F80C9D"/>
    <w:rsid w:val="00F82B4B"/>
    <w:rsid w:val="00F84968"/>
    <w:rsid w:val="00F90F24"/>
    <w:rsid w:val="00F915B8"/>
    <w:rsid w:val="00F91A93"/>
    <w:rsid w:val="00F96344"/>
    <w:rsid w:val="00F978A2"/>
    <w:rsid w:val="00FA6F8D"/>
    <w:rsid w:val="00FB2EE1"/>
    <w:rsid w:val="00FB3212"/>
    <w:rsid w:val="00FB750E"/>
    <w:rsid w:val="00FC1AC5"/>
    <w:rsid w:val="00FC3E90"/>
    <w:rsid w:val="00FC7690"/>
    <w:rsid w:val="00FD30AD"/>
    <w:rsid w:val="00FD482B"/>
    <w:rsid w:val="00FD491D"/>
    <w:rsid w:val="00FD4BC6"/>
    <w:rsid w:val="00FD554E"/>
    <w:rsid w:val="00FD5F5D"/>
    <w:rsid w:val="00FD7BEE"/>
    <w:rsid w:val="00FE23FB"/>
    <w:rsid w:val="00FE5908"/>
    <w:rsid w:val="00FE6288"/>
    <w:rsid w:val="00FF1A3B"/>
    <w:rsid w:val="00FF1B42"/>
    <w:rsid w:val="00FF29A4"/>
    <w:rsid w:val="00FF3AA1"/>
    <w:rsid w:val="0B281B07"/>
    <w:rsid w:val="0F546761"/>
    <w:rsid w:val="3AD42EBA"/>
    <w:rsid w:val="5C4F7AD2"/>
    <w:rsid w:val="6A2A42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中宋" w:cs="Times New Roman"/>
      <w:b/>
      <w:bCs/>
      <w:kern w:val="2"/>
      <w:sz w:val="44"/>
      <w:szCs w:val="44"/>
      <w:lang w:val="en-US" w:eastAsia="zh-CN" w:bidi="ar-SA"/>
    </w:rPr>
  </w:style>
  <w:style w:type="paragraph" w:styleId="2">
    <w:name w:val="heading 3"/>
    <w:basedOn w:val="1"/>
    <w:next w:val="1"/>
    <w:qFormat/>
    <w:uiPriority w:val="0"/>
    <w:pPr>
      <w:keepNext/>
      <w:keepLines/>
      <w:spacing w:before="260" w:beforeLines="0" w:after="260" w:afterLines="0" w:line="416" w:lineRule="auto"/>
      <w:outlineLvl w:val="2"/>
    </w:pPr>
    <w:rPr>
      <w:b w:val="0"/>
      <w:bCs w:val="0"/>
      <w:sz w:val="32"/>
      <w:szCs w:val="32"/>
    </w:rPr>
  </w:style>
  <w:style w:type="character" w:default="1" w:styleId="13">
    <w:name w:val="Default Paragraph Fon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annotation text"/>
    <w:basedOn w:val="1"/>
    <w:link w:val="27"/>
    <w:uiPriority w:val="0"/>
    <w:pPr>
      <w:jc w:val="left"/>
    </w:pPr>
  </w:style>
  <w:style w:type="paragraph" w:styleId="5">
    <w:name w:val="Body Text"/>
    <w:basedOn w:val="1"/>
    <w:uiPriority w:val="0"/>
    <w:rPr>
      <w:rFonts w:eastAsia="黑体"/>
      <w:sz w:val="32"/>
    </w:rPr>
  </w:style>
  <w:style w:type="paragraph" w:styleId="6">
    <w:name w:val="Date"/>
    <w:basedOn w:val="1"/>
    <w:next w:val="1"/>
    <w:uiPriority w:val="0"/>
    <w:pPr>
      <w:ind w:left="100" w:leftChars="2500"/>
    </w:pPr>
  </w:style>
  <w:style w:type="paragraph" w:styleId="7">
    <w:name w:val="Balloon Text"/>
    <w:basedOn w:val="1"/>
    <w:uiPriority w:val="0"/>
    <w:rPr>
      <w:sz w:val="18"/>
      <w:szCs w:val="18"/>
    </w:rPr>
  </w:style>
  <w:style w:type="paragraph" w:styleId="8">
    <w:name w:val="footer"/>
    <w:basedOn w:val="1"/>
    <w:link w:val="26"/>
    <w:uiPriority w:val="99"/>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styleId="11">
    <w:name w:val="annotation subject"/>
    <w:basedOn w:val="4"/>
    <w:next w:val="4"/>
    <w:link w:val="28"/>
    <w:uiPriority w:val="0"/>
  </w:style>
  <w:style w:type="character" w:styleId="14">
    <w:name w:val="page number"/>
    <w:basedOn w:val="13"/>
    <w:uiPriority w:val="0"/>
  </w:style>
  <w:style w:type="character" w:styleId="15">
    <w:name w:val="Hyperlink"/>
    <w:uiPriority w:val="0"/>
    <w:rPr>
      <w:color w:val="0000FF"/>
      <w:u w:val="single"/>
    </w:rPr>
  </w:style>
  <w:style w:type="character" w:styleId="16">
    <w:name w:val="annotation reference"/>
    <w:uiPriority w:val="0"/>
    <w:rPr>
      <w:sz w:val="21"/>
      <w:szCs w:val="21"/>
    </w:rPr>
  </w:style>
  <w:style w:type="paragraph" w:customStyle="1" w:styleId="17">
    <w:name w:val=" Char Char Char Char Char Char"/>
    <w:basedOn w:val="1"/>
    <w:uiPriority w:val="0"/>
  </w:style>
  <w:style w:type="paragraph" w:customStyle="1" w:styleId="18">
    <w:name w:val="p15"/>
    <w:basedOn w:val="1"/>
    <w:uiPriority w:val="0"/>
    <w:pPr>
      <w:widowControl/>
      <w:spacing w:before="100" w:beforeLines="0" w:after="100" w:afterLines="0"/>
      <w:jc w:val="left"/>
    </w:pPr>
    <w:rPr>
      <w:rFonts w:hint="eastAsia"/>
      <w:sz w:val="24"/>
    </w:rPr>
  </w:style>
  <w:style w:type="paragraph" w:customStyle="1" w:styleId="19">
    <w:name w:val="样式1"/>
    <w:basedOn w:val="1"/>
    <w:uiPriority w:val="0"/>
    <w:pPr>
      <w:spacing w:line="500" w:lineRule="exact"/>
      <w:ind w:firstLine="200" w:firstLineChars="200"/>
    </w:pPr>
    <w:rPr>
      <w:rFonts w:ascii="Arial" w:hAnsi="Arial" w:eastAsia="宋体"/>
      <w:sz w:val="24"/>
      <w:szCs w:val="24"/>
      <w:lang w:bidi="ar-SA"/>
    </w:rPr>
  </w:style>
  <w:style w:type="paragraph" w:customStyle="1" w:styleId="20">
    <w:name w:val="p0"/>
    <w:basedOn w:val="1"/>
    <w:uiPriority w:val="0"/>
    <w:pPr>
      <w:widowControl/>
    </w:pPr>
    <w:rPr>
      <w:rFonts w:cs="宋体"/>
      <w:kern w:val="0"/>
    </w:rPr>
  </w:style>
  <w:style w:type="paragraph" w:customStyle="1" w:styleId="21">
    <w:name w:val="鲍伟 正文"/>
    <w:uiPriority w:val="0"/>
    <w:pPr>
      <w:spacing w:line="360" w:lineRule="auto"/>
      <w:ind w:left="-4" w:leftChars="-2" w:firstLine="480" w:firstLineChars="200"/>
      <w:jc w:val="both"/>
    </w:pPr>
    <w:rPr>
      <w:rFonts w:ascii="宋体" w:hAnsi="宋体" w:eastAsia="宋体" w:cs="Times New Roman"/>
      <w:kern w:val="2"/>
      <w:sz w:val="24"/>
      <w:lang w:val="en-US" w:eastAsia="zh-CN" w:bidi="ar-SA"/>
    </w:rPr>
  </w:style>
  <w:style w:type="paragraph" w:customStyle="1" w:styleId="22">
    <w:name w:val="环评正文"/>
    <w:basedOn w:val="1"/>
    <w:uiPriority w:val="0"/>
    <w:pPr>
      <w:spacing w:line="360" w:lineRule="auto"/>
      <w:ind w:firstLine="480" w:firstLineChars="200"/>
    </w:pPr>
    <w:rPr>
      <w:rFonts w:eastAsia="宋体"/>
      <w:kern w:val="2"/>
      <w:sz w:val="24"/>
      <w:szCs w:val="24"/>
      <w:lang w:val="en-US" w:eastAsia="zh-CN" w:bidi="ar-SA"/>
    </w:rPr>
  </w:style>
  <w:style w:type="paragraph" w:customStyle="1" w:styleId="23">
    <w:name w:val="君邦正文"/>
    <w:link w:val="24"/>
    <w:qFormat/>
    <w:uiPriority w:val="0"/>
    <w:pPr>
      <w:spacing w:after="60" w:line="360" w:lineRule="auto"/>
      <w:ind w:firstLine="480" w:firstLineChars="200"/>
      <w:jc w:val="both"/>
    </w:pPr>
    <w:rPr>
      <w:rFonts w:ascii="Times New Roman" w:hAnsi="Times New Roman" w:eastAsia="宋体" w:cs="Times New Roman"/>
      <w:bCs/>
      <w:snapToGrid w:val="0"/>
      <w:sz w:val="24"/>
      <w:lang w:val="en-US" w:eastAsia="zh-CN" w:bidi="ar-SA"/>
    </w:rPr>
  </w:style>
  <w:style w:type="character" w:customStyle="1" w:styleId="24">
    <w:name w:val="君邦正文 Char2"/>
    <w:link w:val="23"/>
    <w:uiPriority w:val="0"/>
    <w:rPr>
      <w:bCs/>
      <w:snapToGrid w:val="0"/>
      <w:sz w:val="24"/>
      <w:lang w:val="en-US" w:eastAsia="zh-CN" w:bidi="ar-SA"/>
    </w:rPr>
  </w:style>
  <w:style w:type="character" w:customStyle="1" w:styleId="25">
    <w:name w:val="君邦正文 Char"/>
    <w:uiPriority w:val="0"/>
    <w:rPr>
      <w:bCs/>
      <w:snapToGrid/>
      <w:kern w:val="2"/>
      <w:sz w:val="24"/>
      <w:szCs w:val="24"/>
    </w:rPr>
  </w:style>
  <w:style w:type="character" w:customStyle="1" w:styleId="26">
    <w:name w:val="页脚 Char"/>
    <w:link w:val="8"/>
    <w:uiPriority w:val="99"/>
    <w:rPr>
      <w:rFonts w:eastAsia="华文中宋"/>
      <w:b/>
      <w:bCs/>
      <w:kern w:val="2"/>
      <w:sz w:val="18"/>
      <w:szCs w:val="18"/>
    </w:rPr>
  </w:style>
  <w:style w:type="character" w:customStyle="1" w:styleId="27">
    <w:name w:val="批注文字 Char"/>
    <w:link w:val="4"/>
    <w:uiPriority w:val="0"/>
    <w:rPr>
      <w:rFonts w:eastAsia="华文中宋"/>
      <w:b/>
      <w:bCs/>
      <w:kern w:val="2"/>
      <w:sz w:val="44"/>
      <w:szCs w:val="44"/>
    </w:rPr>
  </w:style>
  <w:style w:type="character" w:customStyle="1" w:styleId="28">
    <w:name w:val="批注主题 Char"/>
    <w:basedOn w:val="27"/>
    <w:link w:val="1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348</Words>
  <Characters>1988</Characters>
  <Lines>16</Lines>
  <Paragraphs>4</Paragraphs>
  <TotalTime>3</TotalTime>
  <ScaleCrop>false</ScaleCrop>
  <LinksUpToDate>false</LinksUpToDate>
  <CharactersWithSpaces>2332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2020-11-08T02:52:00Z</dcterms:created>
  <dc:creator>杨立群</dc:creator>
  <cp:lastModifiedBy>Administrator</cp:lastModifiedBy>
  <cp:lastPrinted>2020-11-18T09:18:25Z</cp:lastPrinted>
  <dcterms:modified xsi:type="dcterms:W3CDTF">2020-11-18T09:18:27Z</dcterms:modified>
  <dc:title>关于开展全省汞污染排放源现状调查评估的通知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