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CA940">
      <w:pPr>
        <w:jc w:val="center"/>
        <w:rPr>
          <w:rFonts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武汉市地方标准编制说明</w:t>
      </w:r>
    </w:p>
    <w:p w14:paraId="00D2320C">
      <w:pPr>
        <w:jc w:val="center"/>
        <w:rPr>
          <w:rFonts w:ascii="Times New Roman" w:hAnsi="Times New Roman" w:eastAsia="黑体"/>
          <w:sz w:val="18"/>
          <w:szCs w:val="18"/>
        </w:rPr>
      </w:pPr>
    </w:p>
    <w:p w14:paraId="7C0B5D19">
      <w:pPr>
        <w:wordWrap w:val="0"/>
        <w:jc w:val="right"/>
        <w:rPr>
          <w:rFonts w:ascii="宋体" w:hAnsi="宋体"/>
          <w:sz w:val="24"/>
        </w:rPr>
      </w:pPr>
      <w:r>
        <w:rPr>
          <w:rFonts w:hint="eastAsia" w:ascii="宋体" w:hAnsi="宋体"/>
          <w:sz w:val="24"/>
        </w:rPr>
        <w:t>2025年</w:t>
      </w:r>
      <w:r>
        <w:rPr>
          <w:rFonts w:hint="eastAsia" w:ascii="宋体" w:hAnsi="宋体"/>
          <w:sz w:val="24"/>
          <w:lang w:val="en-US" w:eastAsia="zh-CN"/>
        </w:rPr>
        <w:t>11</w:t>
      </w:r>
      <w:r>
        <w:rPr>
          <w:rFonts w:hint="eastAsia" w:ascii="宋体" w:hAnsi="宋体"/>
          <w:sz w:val="24"/>
        </w:rPr>
        <w:t>月</w:t>
      </w:r>
      <w:r>
        <w:rPr>
          <w:rFonts w:hint="eastAsia" w:ascii="宋体" w:hAnsi="宋体"/>
          <w:sz w:val="24"/>
          <w:lang w:val="en-US" w:eastAsia="zh-CN"/>
        </w:rPr>
        <w:t>14</w:t>
      </w:r>
      <w:r>
        <w:rPr>
          <w:rFonts w:hint="eastAsia" w:ascii="宋体" w:hAnsi="宋体"/>
          <w:sz w:val="24"/>
        </w:rPr>
        <w:t>日</w:t>
      </w:r>
    </w:p>
    <w:tbl>
      <w:tblPr>
        <w:tblStyle w:val="2"/>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0"/>
        <w:gridCol w:w="2880"/>
        <w:gridCol w:w="1440"/>
        <w:gridCol w:w="2939"/>
      </w:tblGrid>
      <w:tr w14:paraId="12DC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2480" w:type="dxa"/>
            <w:noWrap w:val="0"/>
            <w:vAlign w:val="center"/>
          </w:tcPr>
          <w:p w14:paraId="3005CBF9">
            <w:pPr>
              <w:spacing w:line="0" w:lineRule="atLeast"/>
              <w:jc w:val="distribute"/>
              <w:rPr>
                <w:rFonts w:ascii="Times New Roman" w:hAnsi="Times New Roman" w:eastAsia="黑体"/>
                <w:sz w:val="24"/>
              </w:rPr>
            </w:pPr>
            <w:r>
              <w:rPr>
                <w:rFonts w:hint="eastAsia" w:ascii="Times New Roman" w:hAnsi="Times New Roman" w:eastAsia="黑体"/>
                <w:sz w:val="24"/>
              </w:rPr>
              <w:t>标准名称</w:t>
            </w:r>
          </w:p>
        </w:tc>
        <w:tc>
          <w:tcPr>
            <w:tcW w:w="2880" w:type="dxa"/>
            <w:noWrap w:val="0"/>
            <w:vAlign w:val="center"/>
          </w:tcPr>
          <w:p w14:paraId="28D171FB">
            <w:pPr>
              <w:spacing w:line="0" w:lineRule="atLeast"/>
              <w:rPr>
                <w:rFonts w:ascii="宋体" w:hAnsi="宋体"/>
                <w:sz w:val="24"/>
              </w:rPr>
            </w:pPr>
            <w:r>
              <w:rPr>
                <w:rFonts w:hint="eastAsia" w:ascii="宋体" w:hAnsi="宋体"/>
                <w:sz w:val="24"/>
              </w:rPr>
              <w:t>武汉市土壤环境背景值</w:t>
            </w:r>
          </w:p>
        </w:tc>
        <w:tc>
          <w:tcPr>
            <w:tcW w:w="1440" w:type="dxa"/>
            <w:noWrap w:val="0"/>
            <w:vAlign w:val="center"/>
          </w:tcPr>
          <w:p w14:paraId="27EBF775">
            <w:pPr>
              <w:spacing w:line="0" w:lineRule="atLeast"/>
              <w:jc w:val="distribute"/>
              <w:rPr>
                <w:rFonts w:ascii="Times New Roman" w:hAnsi="Times New Roman" w:eastAsia="黑体"/>
                <w:sz w:val="24"/>
              </w:rPr>
            </w:pPr>
            <w:r>
              <w:rPr>
                <w:rFonts w:hint="eastAsia" w:ascii="Times New Roman" w:hAnsi="Times New Roman" w:eastAsia="黑体"/>
                <w:sz w:val="24"/>
              </w:rPr>
              <w:t>起草</w:t>
            </w:r>
          </w:p>
          <w:p w14:paraId="3CB076B0">
            <w:pPr>
              <w:spacing w:line="0" w:lineRule="atLeast"/>
              <w:jc w:val="distribute"/>
              <w:rPr>
                <w:rFonts w:ascii="Times New Roman" w:hAnsi="Times New Roman" w:eastAsia="黑体"/>
                <w:sz w:val="24"/>
              </w:rPr>
            </w:pPr>
            <w:r>
              <w:rPr>
                <w:rFonts w:hint="eastAsia" w:ascii="Times New Roman" w:hAnsi="Times New Roman" w:eastAsia="黑体"/>
                <w:sz w:val="24"/>
              </w:rPr>
              <w:t>单位</w:t>
            </w:r>
          </w:p>
          <w:p w14:paraId="3C75E7C1">
            <w:pPr>
              <w:spacing w:line="0" w:lineRule="atLeast"/>
              <w:jc w:val="center"/>
              <w:rPr>
                <w:rFonts w:ascii="黑体" w:hAnsi="宋体" w:eastAsia="黑体"/>
                <w:szCs w:val="21"/>
              </w:rPr>
            </w:pPr>
            <w:r>
              <w:rPr>
                <w:rFonts w:hint="eastAsia" w:ascii="黑体" w:hAnsi="宋体" w:eastAsia="黑体"/>
                <w:szCs w:val="21"/>
              </w:rPr>
              <w:t>（</w:t>
            </w:r>
            <w:r>
              <w:rPr>
                <w:rFonts w:hint="eastAsia" w:ascii="宋体" w:hAnsi="宋体"/>
                <w:szCs w:val="21"/>
              </w:rPr>
              <w:t>盖章</w:t>
            </w:r>
            <w:r>
              <w:rPr>
                <w:rFonts w:hint="eastAsia" w:ascii="黑体" w:hAnsi="宋体" w:eastAsia="黑体"/>
                <w:szCs w:val="21"/>
              </w:rPr>
              <w:t>）</w:t>
            </w:r>
          </w:p>
        </w:tc>
        <w:tc>
          <w:tcPr>
            <w:tcW w:w="2939" w:type="dxa"/>
            <w:noWrap w:val="0"/>
            <w:vAlign w:val="center"/>
          </w:tcPr>
          <w:p w14:paraId="4503D827">
            <w:pPr>
              <w:spacing w:line="0" w:lineRule="atLeast"/>
              <w:rPr>
                <w:rFonts w:ascii="宋体" w:hAnsi="宋体"/>
                <w:sz w:val="18"/>
              </w:rPr>
            </w:pPr>
            <w:r>
              <w:rPr>
                <w:rFonts w:ascii="宋体" w:hAnsi="宋体"/>
                <w:sz w:val="24"/>
              </w:rPr>
              <w:t>武汉市生态环境科技中心</w:t>
            </w:r>
          </w:p>
        </w:tc>
      </w:tr>
      <w:tr w14:paraId="5841A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480" w:type="dxa"/>
            <w:vMerge w:val="restart"/>
            <w:noWrap w:val="0"/>
            <w:vAlign w:val="center"/>
          </w:tcPr>
          <w:p w14:paraId="1B80F256">
            <w:pPr>
              <w:spacing w:line="0" w:lineRule="atLeast"/>
              <w:jc w:val="distribute"/>
              <w:rPr>
                <w:rFonts w:ascii="Times New Roman" w:hAnsi="Times New Roman" w:eastAsia="黑体"/>
                <w:sz w:val="24"/>
              </w:rPr>
            </w:pPr>
            <w:r>
              <w:rPr>
                <w:rFonts w:hint="eastAsia" w:ascii="黑体" w:hAnsi="宋体" w:eastAsia="黑体"/>
                <w:sz w:val="24"/>
              </w:rPr>
              <w:t>主要起草人</w:t>
            </w:r>
          </w:p>
        </w:tc>
        <w:tc>
          <w:tcPr>
            <w:tcW w:w="2880" w:type="dxa"/>
            <w:vMerge w:val="restart"/>
            <w:noWrap w:val="0"/>
            <w:vAlign w:val="center"/>
          </w:tcPr>
          <w:p w14:paraId="7C34DCB9">
            <w:pPr>
              <w:spacing w:line="0" w:lineRule="atLeast"/>
              <w:rPr>
                <w:rFonts w:ascii="Times New Roman" w:hAnsi="Times New Roman"/>
                <w:sz w:val="24"/>
              </w:rPr>
            </w:pPr>
          </w:p>
        </w:tc>
        <w:tc>
          <w:tcPr>
            <w:tcW w:w="1440" w:type="dxa"/>
            <w:vMerge w:val="restart"/>
            <w:noWrap w:val="0"/>
            <w:vAlign w:val="center"/>
          </w:tcPr>
          <w:p w14:paraId="416D9F1F">
            <w:pPr>
              <w:spacing w:line="0" w:lineRule="atLeast"/>
              <w:jc w:val="distribute"/>
              <w:rPr>
                <w:rFonts w:ascii="Times New Roman" w:hAnsi="Times New Roman" w:eastAsia="黑体"/>
                <w:sz w:val="24"/>
              </w:rPr>
            </w:pPr>
            <w:r>
              <w:rPr>
                <w:rFonts w:hint="eastAsia" w:ascii="Times New Roman" w:hAnsi="Times New Roman" w:eastAsia="黑体"/>
                <w:sz w:val="24"/>
              </w:rPr>
              <w:t>参与起草</w:t>
            </w:r>
          </w:p>
          <w:p w14:paraId="7A512939">
            <w:pPr>
              <w:spacing w:line="0" w:lineRule="atLeast"/>
              <w:jc w:val="distribute"/>
              <w:rPr>
                <w:rFonts w:ascii="Times New Roman" w:hAnsi="Times New Roman" w:eastAsia="黑体"/>
                <w:sz w:val="24"/>
              </w:rPr>
            </w:pPr>
            <w:r>
              <w:rPr>
                <w:rFonts w:hint="eastAsia" w:ascii="Times New Roman" w:hAnsi="Times New Roman" w:eastAsia="黑体"/>
                <w:sz w:val="24"/>
              </w:rPr>
              <w:t>单位</w:t>
            </w:r>
          </w:p>
        </w:tc>
        <w:tc>
          <w:tcPr>
            <w:tcW w:w="2939" w:type="dxa"/>
            <w:noWrap w:val="0"/>
            <w:vAlign w:val="center"/>
          </w:tcPr>
          <w:p w14:paraId="30C39D3A">
            <w:pPr>
              <w:spacing w:line="0" w:lineRule="atLeast"/>
              <w:rPr>
                <w:rFonts w:ascii="宋体" w:hAnsi="宋体"/>
                <w:sz w:val="24"/>
              </w:rPr>
            </w:pPr>
            <w:r>
              <w:rPr>
                <w:rFonts w:hint="eastAsia" w:ascii="宋体" w:hAnsi="宋体"/>
                <w:sz w:val="24"/>
              </w:rPr>
              <w:t>1.湖北省地质调查院</w:t>
            </w:r>
          </w:p>
        </w:tc>
      </w:tr>
      <w:tr w14:paraId="66CB2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480" w:type="dxa"/>
            <w:vMerge w:val="continue"/>
            <w:noWrap w:val="0"/>
            <w:vAlign w:val="center"/>
          </w:tcPr>
          <w:p w14:paraId="5432E1BB">
            <w:pPr>
              <w:spacing w:line="0" w:lineRule="atLeast"/>
              <w:jc w:val="distribute"/>
              <w:rPr>
                <w:rFonts w:ascii="黑体" w:hAnsi="宋体" w:eastAsia="黑体"/>
                <w:sz w:val="24"/>
              </w:rPr>
            </w:pPr>
          </w:p>
        </w:tc>
        <w:tc>
          <w:tcPr>
            <w:tcW w:w="2880" w:type="dxa"/>
            <w:vMerge w:val="continue"/>
            <w:noWrap w:val="0"/>
            <w:vAlign w:val="center"/>
          </w:tcPr>
          <w:p w14:paraId="13867C70">
            <w:pPr>
              <w:spacing w:line="0" w:lineRule="atLeast"/>
              <w:rPr>
                <w:rFonts w:ascii="Times New Roman" w:hAnsi="Times New Roman"/>
                <w:sz w:val="24"/>
              </w:rPr>
            </w:pPr>
          </w:p>
        </w:tc>
        <w:tc>
          <w:tcPr>
            <w:tcW w:w="1440" w:type="dxa"/>
            <w:vMerge w:val="continue"/>
            <w:noWrap w:val="0"/>
            <w:vAlign w:val="center"/>
          </w:tcPr>
          <w:p w14:paraId="15F79CB4">
            <w:pPr>
              <w:spacing w:line="0" w:lineRule="atLeast"/>
              <w:jc w:val="distribute"/>
              <w:rPr>
                <w:rFonts w:ascii="Times New Roman" w:hAnsi="Times New Roman" w:eastAsia="黑体"/>
                <w:sz w:val="24"/>
              </w:rPr>
            </w:pPr>
          </w:p>
        </w:tc>
        <w:tc>
          <w:tcPr>
            <w:tcW w:w="2939" w:type="dxa"/>
            <w:noWrap w:val="0"/>
            <w:vAlign w:val="center"/>
          </w:tcPr>
          <w:p w14:paraId="2C825871">
            <w:pPr>
              <w:spacing w:line="0" w:lineRule="atLeast"/>
              <w:rPr>
                <w:rFonts w:ascii="宋体" w:hAnsi="宋体"/>
                <w:sz w:val="24"/>
              </w:rPr>
            </w:pPr>
            <w:r>
              <w:rPr>
                <w:rFonts w:hint="eastAsia" w:ascii="宋体" w:hAnsi="宋体"/>
                <w:sz w:val="24"/>
              </w:rPr>
              <w:t>2.武汉智汇元环保科技有限公司</w:t>
            </w:r>
          </w:p>
        </w:tc>
      </w:tr>
      <w:tr w14:paraId="3D2D5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739" w:type="dxa"/>
            <w:gridSpan w:val="4"/>
            <w:noWrap w:val="0"/>
            <w:vAlign w:val="top"/>
          </w:tcPr>
          <w:p w14:paraId="1487851D">
            <w:pPr>
              <w:numPr>
                <w:ilvl w:val="0"/>
                <w:numId w:val="1"/>
              </w:numPr>
              <w:spacing w:before="312" w:beforeLines="100" w:after="156" w:afterLines="50" w:line="0" w:lineRule="atLeast"/>
              <w:rPr>
                <w:rFonts w:ascii="黑体" w:hAnsi="宋体" w:eastAsia="黑体"/>
                <w:sz w:val="24"/>
              </w:rPr>
            </w:pPr>
            <w:r>
              <w:rPr>
                <w:rFonts w:hint="eastAsia" w:ascii="黑体" w:hAnsi="宋体" w:eastAsia="黑体"/>
                <w:sz w:val="24"/>
              </w:rPr>
              <w:t>行业现状及编制或修订目的（需说明应用情况，包括应用的时间和范围）</w:t>
            </w:r>
          </w:p>
          <w:p w14:paraId="1B502C4B">
            <w:pPr>
              <w:spacing w:line="320" w:lineRule="exact"/>
              <w:ind w:firstLine="480" w:firstLineChars="200"/>
              <w:rPr>
                <w:sz w:val="24"/>
              </w:rPr>
            </w:pPr>
            <w:r>
              <w:rPr>
                <w:rFonts w:hint="eastAsia"/>
                <w:sz w:val="24"/>
              </w:rPr>
              <w:t>土壤是经济社会可持续发展的物质基础，土壤环境保护对推进生态文明建设和维护国家生态安全的意义重大。土壤环境背景含量是指一定时间条件下，仅受地球化学过程和非点源输入影响的土壤中元素或化合物的含量。土壤环境背景值是指基于土壤环境背景含量的统计值。土壤元素背景值研究是土壤环境科学的基础性工作，特定区域的土壤元素环境背景值可预测该地区环境污染变化趋势，</w:t>
            </w:r>
            <w:r>
              <w:rPr>
                <w:rFonts w:hint="eastAsia"/>
                <w:sz w:val="24"/>
                <w:lang w:eastAsia="zh-CN"/>
              </w:rPr>
              <w:t>为</w:t>
            </w:r>
            <w:r>
              <w:rPr>
                <w:rFonts w:hint="eastAsia"/>
                <w:sz w:val="24"/>
              </w:rPr>
              <w:t>区域土壤环境监测和评价提供依据。</w:t>
            </w:r>
          </w:p>
          <w:p w14:paraId="3900DD6C">
            <w:pPr>
              <w:spacing w:line="320" w:lineRule="exact"/>
              <w:ind w:firstLine="480" w:firstLineChars="200"/>
              <w:rPr>
                <w:rFonts w:hint="eastAsia"/>
                <w:sz w:val="24"/>
              </w:rPr>
            </w:pPr>
            <w:r>
              <w:rPr>
                <w:rFonts w:hint="eastAsia"/>
                <w:sz w:val="24"/>
              </w:rPr>
              <w:t>2016年5月，国务院印发《土壤污染防治行动计划》（国发〔2016〕31号），提出要系统构建标准体系，建立健全技术体系，各地可制订严于国家标准的地方土壤环境质量标准。2018年6月，国家发布《土壤环境质量农用地土壤污染风险管控标准（试行）》（GB 15618-2018），同时废止《土壤环境质量标准》（GB 15618-1995），不再规定全国统一的土壤环境背景值，由地方政府根据相关规范自行确定本辖区的土壤环境背景值。2018年8月，第十三届全国人民代表大会常务委员会第五次会议审议通过《中华人民共和国土壤污染防治法》，也明确支持开展土壤环境背景值研究。</w:t>
            </w:r>
          </w:p>
          <w:p w14:paraId="7F5F156D">
            <w:pPr>
              <w:spacing w:line="320" w:lineRule="exact"/>
              <w:ind w:firstLine="480" w:firstLineChars="200"/>
              <w:rPr>
                <w:sz w:val="24"/>
              </w:rPr>
            </w:pPr>
            <w:r>
              <w:rPr>
                <w:rFonts w:hint="eastAsia"/>
                <w:sz w:val="24"/>
              </w:rPr>
              <w:t>在地市层面上，2022年6月，武汉市生态环境保护委员会印发了《2022年土壤污染防治实施方案》（武环委〔2022〕6号），其中明确“推进武汉市土壤环境背景值调查工作”；2023年1月，武汉市生态环境保护委员会印发的《武汉市土壤生态环境保护规划（2023-2025年）》（武环委〔2023〕3号）中，明确要求“制定全市土壤环境背景值和武汉市地下水环境背景值”，将武汉市土壤环境背景值调研和标准制定纳入全市土壤生态环境保护“十四五”重大项目库。因此，编制武汉市土壤环境背景值</w:t>
            </w:r>
            <w:r>
              <w:rPr>
                <w:rFonts w:hint="eastAsia"/>
                <w:sz w:val="24"/>
                <w:lang w:eastAsia="zh-CN"/>
              </w:rPr>
              <w:t>标准</w:t>
            </w:r>
            <w:r>
              <w:rPr>
                <w:rFonts w:hint="eastAsia"/>
                <w:sz w:val="24"/>
              </w:rPr>
              <w:t>，是对政策和法规要求的积极响应。</w:t>
            </w:r>
          </w:p>
          <w:p w14:paraId="713458EA">
            <w:pPr>
              <w:spacing w:line="320" w:lineRule="exact"/>
              <w:ind w:firstLine="480" w:firstLineChars="200"/>
              <w:rPr>
                <w:rFonts w:hint="eastAsia"/>
                <w:sz w:val="24"/>
              </w:rPr>
            </w:pPr>
            <w:r>
              <w:rPr>
                <w:rFonts w:hint="eastAsia"/>
                <w:sz w:val="24"/>
              </w:rPr>
              <w:t>我市生态环境主管部门在日常土壤环境管理工作中发现，土壤环境调查结果时常出现某些特定元素和化合物“无来源”超标，往往对这类地块直接纳入污染地块管理，造成过度调查的情况。在土壤污染风险管控和修复过程中，相关目标的制定往往通过风险评估计算得来，存在目标值的计算结果小于环境背景值的情况，造成过度管控和修复。</w:t>
            </w:r>
          </w:p>
          <w:p w14:paraId="4E677549">
            <w:pPr>
              <w:spacing w:line="320" w:lineRule="exact"/>
              <w:ind w:firstLine="480" w:firstLineChars="200"/>
              <w:rPr>
                <w:rFonts w:ascii="宋体" w:hAnsi="宋体"/>
                <w:sz w:val="24"/>
              </w:rPr>
            </w:pPr>
            <w:r>
              <w:rPr>
                <w:rFonts w:hint="eastAsia"/>
                <w:sz w:val="24"/>
              </w:rPr>
              <w:t>为摸清武汉市土壤环境本底情况，消除土壤环境背景干扰，避免过度调查、管控和修复造成的人力、物力和财力的过度投入，有必要尽快发布武汉市土壤环境背景值，为全市土壤污染源头预防、风险管控、治理与修复、监管能力建设等提供科学支撑，为武汉市创建国家标准化改革创新先行区提供生态环境保护领域贡献。</w:t>
            </w:r>
          </w:p>
        </w:tc>
      </w:tr>
      <w:tr w14:paraId="76329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6" w:hRule="atLeast"/>
          <w:jc w:val="center"/>
        </w:trPr>
        <w:tc>
          <w:tcPr>
            <w:tcW w:w="9739" w:type="dxa"/>
            <w:gridSpan w:val="4"/>
            <w:noWrap w:val="0"/>
            <w:vAlign w:val="top"/>
          </w:tcPr>
          <w:p w14:paraId="1E93CCE7">
            <w:pPr>
              <w:numPr>
                <w:ilvl w:val="0"/>
                <w:numId w:val="1"/>
              </w:numPr>
              <w:spacing w:before="312" w:beforeLines="100" w:after="156" w:afterLines="50" w:line="340" w:lineRule="exact"/>
              <w:rPr>
                <w:rFonts w:ascii="Times New Roman" w:hAnsi="Times New Roman" w:eastAsia="黑体"/>
                <w:sz w:val="24"/>
              </w:rPr>
            </w:pPr>
            <w:r>
              <w:rPr>
                <w:rFonts w:hint="eastAsia" w:ascii="Times New Roman" w:hAnsi="Times New Roman" w:eastAsia="黑体"/>
                <w:sz w:val="24"/>
              </w:rPr>
              <w:t>确定标准的主要内容或技术指标、参数、公式、性能要求、试验方法等依据和理由</w:t>
            </w:r>
          </w:p>
          <w:p w14:paraId="4E2B63B3">
            <w:pPr>
              <w:spacing w:line="340" w:lineRule="exact"/>
              <w:ind w:firstLine="482" w:firstLineChars="200"/>
              <w:rPr>
                <w:rFonts w:hint="eastAsia"/>
                <w:b/>
                <w:sz w:val="24"/>
              </w:rPr>
            </w:pPr>
            <w:r>
              <w:rPr>
                <w:rFonts w:hint="eastAsia"/>
                <w:b/>
                <w:sz w:val="24"/>
              </w:rPr>
              <w:t>2.1编制依据</w:t>
            </w:r>
          </w:p>
          <w:p w14:paraId="788BEA54">
            <w:pPr>
              <w:spacing w:line="340" w:lineRule="exact"/>
              <w:ind w:firstLine="482" w:firstLineChars="200"/>
              <w:rPr>
                <w:b/>
                <w:sz w:val="24"/>
              </w:rPr>
            </w:pPr>
            <w:r>
              <w:rPr>
                <w:rFonts w:hint="eastAsia"/>
                <w:b/>
                <w:sz w:val="24"/>
              </w:rPr>
              <w:t>（一）</w:t>
            </w:r>
            <w:r>
              <w:rPr>
                <w:b/>
                <w:sz w:val="24"/>
              </w:rPr>
              <w:t>法律法规及政策性文件</w:t>
            </w:r>
          </w:p>
          <w:p w14:paraId="7B2436CE">
            <w:pPr>
              <w:spacing w:line="340" w:lineRule="exact"/>
              <w:ind w:firstLine="480" w:firstLineChars="200"/>
              <w:rPr>
                <w:rFonts w:hint="eastAsia"/>
                <w:sz w:val="24"/>
              </w:rPr>
            </w:pPr>
            <w:r>
              <w:rPr>
                <w:rFonts w:hint="eastAsia"/>
                <w:sz w:val="24"/>
              </w:rPr>
              <w:t>（1）《中华人民共和国土壤污染防治法》，2019 年1 月1 日起施行</w:t>
            </w:r>
          </w:p>
          <w:p w14:paraId="287889C4">
            <w:pPr>
              <w:spacing w:line="340" w:lineRule="exact"/>
              <w:ind w:firstLine="480" w:firstLineChars="200"/>
              <w:rPr>
                <w:rFonts w:hint="eastAsia"/>
                <w:sz w:val="24"/>
              </w:rPr>
            </w:pPr>
            <w:r>
              <w:rPr>
                <w:rFonts w:hint="eastAsia"/>
                <w:sz w:val="24"/>
              </w:rPr>
              <w:t>（2）《土壤污染防治行动计划》，2016 年5 月28 日起实施</w:t>
            </w:r>
          </w:p>
          <w:p w14:paraId="4B07DB4D">
            <w:pPr>
              <w:spacing w:line="340" w:lineRule="exact"/>
              <w:ind w:firstLine="480" w:firstLineChars="200"/>
              <w:rPr>
                <w:rFonts w:hint="eastAsia"/>
                <w:sz w:val="24"/>
              </w:rPr>
            </w:pPr>
            <w:r>
              <w:rPr>
                <w:rFonts w:hint="eastAsia"/>
                <w:sz w:val="24"/>
              </w:rPr>
              <w:t>（3）《湖北省土壤污染防治条例》，2016 年10 月1 日起施行</w:t>
            </w:r>
          </w:p>
          <w:p w14:paraId="683B6C3E">
            <w:pPr>
              <w:spacing w:line="340" w:lineRule="exact"/>
              <w:ind w:firstLine="480" w:firstLineChars="200"/>
              <w:rPr>
                <w:rFonts w:hint="eastAsia"/>
                <w:sz w:val="24"/>
              </w:rPr>
            </w:pPr>
            <w:r>
              <w:rPr>
                <w:rFonts w:hint="eastAsia"/>
                <w:sz w:val="24"/>
              </w:rPr>
              <w:t>（4）《武汉市土壤污染防治工作方案》（武政规〔2017〕17号）</w:t>
            </w:r>
          </w:p>
          <w:p w14:paraId="746669BB">
            <w:pPr>
              <w:spacing w:line="340" w:lineRule="exact"/>
              <w:ind w:firstLine="480" w:firstLineChars="200"/>
              <w:rPr>
                <w:rFonts w:hint="eastAsia"/>
                <w:sz w:val="24"/>
              </w:rPr>
            </w:pPr>
            <w:r>
              <w:rPr>
                <w:rFonts w:hint="eastAsia"/>
                <w:sz w:val="24"/>
              </w:rPr>
              <w:t>（5）《关于印发“十四五”土壤、地下水和农村生态环境保护规划的通知》（环土壤〔2021〕120号）</w:t>
            </w:r>
          </w:p>
          <w:p w14:paraId="074AB3F0">
            <w:pPr>
              <w:spacing w:line="340" w:lineRule="exact"/>
              <w:ind w:firstLine="480" w:firstLineChars="200"/>
              <w:rPr>
                <w:rFonts w:hint="eastAsia"/>
                <w:sz w:val="24"/>
              </w:rPr>
            </w:pPr>
            <w:r>
              <w:rPr>
                <w:rFonts w:hint="eastAsia"/>
                <w:sz w:val="24"/>
              </w:rPr>
              <w:t>（6）《市环境保护委员会关于印发武汉市2022年土壤污染防治实施方案的通知》（武环委〔2022〕6号）</w:t>
            </w:r>
          </w:p>
          <w:p w14:paraId="0C7CCEBB">
            <w:pPr>
              <w:spacing w:line="340" w:lineRule="exact"/>
              <w:ind w:firstLine="482" w:firstLineChars="200"/>
              <w:rPr>
                <w:rFonts w:hint="eastAsia"/>
                <w:b/>
                <w:sz w:val="24"/>
              </w:rPr>
            </w:pPr>
            <w:r>
              <w:rPr>
                <w:rFonts w:hint="eastAsia"/>
                <w:b/>
                <w:sz w:val="24"/>
              </w:rPr>
              <w:t>（二）技术依据</w:t>
            </w:r>
          </w:p>
          <w:p w14:paraId="353458F0">
            <w:pPr>
              <w:spacing w:line="340" w:lineRule="exact"/>
              <w:ind w:firstLine="480" w:firstLineChars="200"/>
              <w:rPr>
                <w:rFonts w:hint="eastAsia"/>
                <w:sz w:val="24"/>
              </w:rPr>
            </w:pPr>
            <w:r>
              <w:rPr>
                <w:rFonts w:hint="eastAsia"/>
                <w:sz w:val="24"/>
              </w:rPr>
              <w:t>HJ 1185 区域性土壤环境背景含量统计技术导则（试行）</w:t>
            </w:r>
          </w:p>
          <w:p w14:paraId="6AD63FC8">
            <w:pPr>
              <w:spacing w:line="340" w:lineRule="exact"/>
              <w:ind w:firstLine="480" w:firstLineChars="200"/>
              <w:rPr>
                <w:rFonts w:hint="eastAsia"/>
                <w:sz w:val="24"/>
              </w:rPr>
            </w:pPr>
            <w:r>
              <w:rPr>
                <w:rFonts w:hint="eastAsia"/>
                <w:sz w:val="24"/>
              </w:rPr>
              <w:t>HJ/T 166 土壤环境监测技术规范</w:t>
            </w:r>
          </w:p>
          <w:p w14:paraId="34F4AA3F">
            <w:pPr>
              <w:spacing w:line="340" w:lineRule="exact"/>
              <w:ind w:firstLine="480" w:firstLineChars="200"/>
              <w:rPr>
                <w:rFonts w:hint="eastAsia"/>
                <w:sz w:val="24"/>
              </w:rPr>
            </w:pPr>
            <w:r>
              <w:rPr>
                <w:rFonts w:hint="eastAsia"/>
                <w:sz w:val="24"/>
              </w:rPr>
              <w:t>HJ 680 土壤和沉积物 汞、砷、硒、铋、锑的测定 微波消解/原子荧光法</w:t>
            </w:r>
          </w:p>
          <w:p w14:paraId="39AA64EC">
            <w:pPr>
              <w:spacing w:line="340" w:lineRule="exact"/>
              <w:ind w:firstLine="480" w:firstLineChars="200"/>
              <w:rPr>
                <w:rFonts w:hint="eastAsia"/>
                <w:sz w:val="24"/>
              </w:rPr>
            </w:pPr>
            <w:r>
              <w:rPr>
                <w:rFonts w:hint="eastAsia"/>
                <w:sz w:val="24"/>
              </w:rPr>
              <w:t>HJ 803 土壤和沉积物 12种金属元素的测定 王水提取-电感耦合等离子体质谱法</w:t>
            </w:r>
          </w:p>
          <w:p w14:paraId="7E1AFA27">
            <w:pPr>
              <w:spacing w:line="340" w:lineRule="exact"/>
              <w:ind w:firstLine="480" w:firstLineChars="200"/>
              <w:rPr>
                <w:rFonts w:hint="eastAsia"/>
                <w:sz w:val="24"/>
              </w:rPr>
            </w:pPr>
            <w:r>
              <w:rPr>
                <w:rFonts w:hint="eastAsia"/>
                <w:sz w:val="24"/>
              </w:rPr>
              <w:t>GB/T 22105.1 土壤质量 总汞、总砷、总铅的测定 原子荧光法 第1部分：土壤中总汞的测定</w:t>
            </w:r>
          </w:p>
          <w:p w14:paraId="2D0058C6">
            <w:pPr>
              <w:spacing w:line="340" w:lineRule="exact"/>
              <w:ind w:firstLine="480" w:firstLineChars="200"/>
              <w:rPr>
                <w:rFonts w:hint="eastAsia"/>
                <w:sz w:val="24"/>
              </w:rPr>
            </w:pPr>
            <w:r>
              <w:rPr>
                <w:rFonts w:hint="eastAsia"/>
                <w:sz w:val="24"/>
              </w:rPr>
              <w:t>GB/T 22105.2 土壤质量 总汞、总砷、总铅的测定 原子荧光法 第2部分：土壤中总砷的测定</w:t>
            </w:r>
          </w:p>
          <w:p w14:paraId="0924F2AC">
            <w:pPr>
              <w:spacing w:line="340" w:lineRule="exact"/>
              <w:ind w:firstLine="480" w:firstLineChars="200"/>
              <w:rPr>
                <w:rFonts w:hint="eastAsia"/>
                <w:sz w:val="24"/>
              </w:rPr>
            </w:pPr>
            <w:r>
              <w:rPr>
                <w:rFonts w:hint="eastAsia"/>
                <w:sz w:val="24"/>
              </w:rPr>
              <w:t>GB/T 17136 土壤质量 总汞的测定 冷原子吸收分光光度法</w:t>
            </w:r>
          </w:p>
          <w:p w14:paraId="55B5BE52">
            <w:pPr>
              <w:spacing w:line="340" w:lineRule="exact"/>
              <w:ind w:firstLine="480" w:firstLineChars="200"/>
              <w:rPr>
                <w:rFonts w:hint="eastAsia"/>
                <w:sz w:val="24"/>
              </w:rPr>
            </w:pPr>
            <w:r>
              <w:rPr>
                <w:rFonts w:hint="eastAsia"/>
                <w:sz w:val="24"/>
              </w:rPr>
              <w:t>HJ 923 土壤和沉积物 总汞的测定 催化热解-冷原子吸收分光光度法</w:t>
            </w:r>
          </w:p>
          <w:p w14:paraId="5D7A212C">
            <w:pPr>
              <w:spacing w:line="340" w:lineRule="exact"/>
              <w:ind w:firstLine="480" w:firstLineChars="200"/>
              <w:rPr>
                <w:rFonts w:hint="eastAsia"/>
                <w:sz w:val="24"/>
              </w:rPr>
            </w:pPr>
            <w:r>
              <w:rPr>
                <w:rFonts w:hint="eastAsia"/>
                <w:sz w:val="24"/>
              </w:rPr>
              <w:t>HJ 1315 土壤和沉积物19 种金属元素总量的测定电感耦合等离子体质谱法</w:t>
            </w:r>
          </w:p>
          <w:p w14:paraId="4A70E750">
            <w:pPr>
              <w:spacing w:line="340" w:lineRule="exact"/>
              <w:ind w:firstLine="480" w:firstLineChars="200"/>
              <w:rPr>
                <w:rFonts w:hint="eastAsia"/>
                <w:sz w:val="24"/>
              </w:rPr>
            </w:pPr>
            <w:r>
              <w:rPr>
                <w:rFonts w:hint="eastAsia"/>
                <w:sz w:val="24"/>
              </w:rPr>
              <w:t>HJ 737 土壤和沉积物 铍的测定 石墨炉原子吸收分光光度法</w:t>
            </w:r>
          </w:p>
          <w:p w14:paraId="5D2489F1">
            <w:pPr>
              <w:spacing w:line="340" w:lineRule="exact"/>
              <w:ind w:firstLine="480" w:firstLineChars="200"/>
              <w:rPr>
                <w:rFonts w:hint="eastAsia"/>
                <w:sz w:val="24"/>
              </w:rPr>
            </w:pPr>
            <w:r>
              <w:rPr>
                <w:rFonts w:hint="eastAsia"/>
                <w:sz w:val="24"/>
              </w:rPr>
              <w:t>HJ 803 土壤和沉积物 12种金属元素的测定 王水提取-电感耦合等离子体质谱法</w:t>
            </w:r>
          </w:p>
          <w:p w14:paraId="2DA15100">
            <w:pPr>
              <w:spacing w:line="340" w:lineRule="exact"/>
              <w:ind w:firstLine="480" w:firstLineChars="200"/>
              <w:rPr>
                <w:rFonts w:hint="eastAsia"/>
                <w:sz w:val="24"/>
              </w:rPr>
            </w:pPr>
            <w:r>
              <w:rPr>
                <w:rFonts w:hint="eastAsia"/>
                <w:sz w:val="24"/>
              </w:rPr>
              <w:t>HJ 780 土壤和沉积物 无机元素的测定 波长色散X射线荧光光谱法</w:t>
            </w:r>
          </w:p>
          <w:p w14:paraId="1B14BE86">
            <w:pPr>
              <w:spacing w:line="340" w:lineRule="exact"/>
              <w:ind w:firstLine="480" w:firstLineChars="200"/>
              <w:rPr>
                <w:rFonts w:hint="eastAsia"/>
                <w:sz w:val="24"/>
              </w:rPr>
            </w:pPr>
            <w:r>
              <w:rPr>
                <w:rFonts w:hint="eastAsia"/>
                <w:sz w:val="24"/>
              </w:rPr>
              <w:t>HJ 491 土壤和沉积物 铜、锌、铅、镍、铬的测定 火焰原子吸收分光光度法</w:t>
            </w:r>
          </w:p>
          <w:p w14:paraId="2B7E6346">
            <w:pPr>
              <w:spacing w:line="340" w:lineRule="exact"/>
              <w:ind w:firstLine="480" w:firstLineChars="200"/>
              <w:rPr>
                <w:rFonts w:hint="eastAsia"/>
                <w:sz w:val="24"/>
              </w:rPr>
            </w:pPr>
            <w:r>
              <w:rPr>
                <w:rFonts w:hint="eastAsia"/>
                <w:sz w:val="24"/>
              </w:rPr>
              <w:t>GB/T 17141 土壤质量 铅、镉的测定 石墨炉原子吸收分光光度法</w:t>
            </w:r>
          </w:p>
          <w:p w14:paraId="5687C2D2">
            <w:pPr>
              <w:spacing w:line="340" w:lineRule="exact"/>
              <w:ind w:firstLine="482" w:firstLineChars="200"/>
              <w:rPr>
                <w:rFonts w:hint="eastAsia"/>
                <w:b/>
                <w:sz w:val="24"/>
              </w:rPr>
            </w:pPr>
            <w:r>
              <w:rPr>
                <w:rFonts w:hint="eastAsia"/>
                <w:b/>
                <w:sz w:val="24"/>
              </w:rPr>
              <w:t>2.2标准主要内容</w:t>
            </w:r>
          </w:p>
          <w:p w14:paraId="50813908">
            <w:pPr>
              <w:spacing w:line="340" w:lineRule="exact"/>
              <w:ind w:firstLine="482" w:firstLineChars="200"/>
              <w:rPr>
                <w:b/>
                <w:sz w:val="24"/>
              </w:rPr>
            </w:pPr>
            <w:bookmarkStart w:id="0" w:name="OLE_LINK365"/>
            <w:bookmarkStart w:id="1" w:name="OLE_LINK364"/>
            <w:r>
              <w:rPr>
                <w:b/>
                <w:sz w:val="24"/>
              </w:rPr>
              <w:t>（一）适用范围</w:t>
            </w:r>
          </w:p>
          <w:p w14:paraId="7CCF3692">
            <w:pPr>
              <w:spacing w:line="340" w:lineRule="exact"/>
              <w:ind w:firstLine="480" w:firstLineChars="200"/>
              <w:rPr>
                <w:rFonts w:hint="eastAsia"/>
                <w:sz w:val="24"/>
              </w:rPr>
            </w:pPr>
            <w:r>
              <w:rPr>
                <w:rFonts w:hint="eastAsia"/>
                <w:sz w:val="24"/>
              </w:rPr>
              <w:t>本标准规定了武汉市土壤环境背景含量的基本统计量、使用方法以及监测要求。</w:t>
            </w:r>
          </w:p>
          <w:p w14:paraId="3FBB5106">
            <w:pPr>
              <w:spacing w:line="340" w:lineRule="exact"/>
              <w:ind w:firstLine="480" w:firstLineChars="200"/>
              <w:rPr>
                <w:rFonts w:hint="eastAsia"/>
                <w:sz w:val="24"/>
              </w:rPr>
            </w:pPr>
            <w:r>
              <w:rPr>
                <w:rFonts w:hint="eastAsia"/>
                <w:sz w:val="24"/>
              </w:rPr>
              <w:t>本标准适用于武汉市水稻土、潮土、黄棕壤、红壤的土壤环境背景状况评价。</w:t>
            </w:r>
          </w:p>
          <w:p w14:paraId="13FD9EA3">
            <w:pPr>
              <w:spacing w:line="340" w:lineRule="exact"/>
              <w:ind w:firstLine="482" w:firstLineChars="200"/>
              <w:rPr>
                <w:rFonts w:hint="eastAsia"/>
                <w:b/>
                <w:sz w:val="24"/>
              </w:rPr>
            </w:pPr>
            <w:r>
              <w:rPr>
                <w:rFonts w:hint="eastAsia"/>
                <w:b/>
                <w:sz w:val="24"/>
              </w:rPr>
              <w:t>（二）术语和定义</w:t>
            </w:r>
          </w:p>
          <w:p w14:paraId="318035ED">
            <w:pPr>
              <w:spacing w:line="340" w:lineRule="exact"/>
              <w:ind w:firstLine="480" w:firstLineChars="200"/>
              <w:rPr>
                <w:rFonts w:hint="eastAsia"/>
                <w:sz w:val="24"/>
              </w:rPr>
            </w:pPr>
            <w:r>
              <w:rPr>
                <w:rFonts w:hint="eastAsia"/>
                <w:sz w:val="24"/>
              </w:rPr>
              <w:t>本标准共有6个术语和定义。具体如下：</w:t>
            </w:r>
          </w:p>
          <w:p w14:paraId="6FE6CA0D">
            <w:pPr>
              <w:spacing w:line="340" w:lineRule="exact"/>
              <w:ind w:firstLine="480" w:firstLineChars="200"/>
              <w:rPr>
                <w:rFonts w:hint="eastAsia"/>
                <w:sz w:val="24"/>
              </w:rPr>
            </w:pPr>
            <w:r>
              <w:rPr>
                <w:rFonts w:hint="eastAsia"/>
                <w:sz w:val="24"/>
              </w:rPr>
              <w:t>1.土壤 soil：位于陆地表层能够生长植物的疏松多孔物质层及其相关自然地理要素的综合体。</w:t>
            </w:r>
          </w:p>
          <w:p w14:paraId="1DF586A4">
            <w:pPr>
              <w:spacing w:line="340" w:lineRule="exact"/>
              <w:ind w:firstLine="480" w:firstLineChars="200"/>
              <w:rPr>
                <w:rFonts w:hint="eastAsia"/>
                <w:sz w:val="24"/>
              </w:rPr>
            </w:pPr>
            <w:r>
              <w:rPr>
                <w:rFonts w:hint="eastAsia"/>
                <w:sz w:val="24"/>
              </w:rPr>
              <w:t>2.土壤环境背景含量 environmental background content of soil ：一定时间条件下，仅受地球化学过程和非点源输入影响的土壤中元素或化合物的含量。</w:t>
            </w:r>
          </w:p>
          <w:p w14:paraId="1FF4697F">
            <w:pPr>
              <w:spacing w:line="340" w:lineRule="exact"/>
              <w:ind w:firstLine="480" w:firstLineChars="200"/>
              <w:rPr>
                <w:rFonts w:hint="eastAsia"/>
                <w:sz w:val="24"/>
              </w:rPr>
            </w:pPr>
            <w:r>
              <w:rPr>
                <w:rFonts w:hint="eastAsia"/>
                <w:sz w:val="24"/>
              </w:rPr>
              <w:t>3.土壤环境背景值 environmental background values of soil ：基于土壤环境背景含量的统计值。通常以土壤环境背景含量的某一分位值表示。</w:t>
            </w:r>
          </w:p>
          <w:p w14:paraId="2C9BA3C5">
            <w:pPr>
              <w:spacing w:line="340" w:lineRule="exact"/>
              <w:ind w:firstLine="480" w:firstLineChars="200"/>
              <w:rPr>
                <w:rFonts w:hint="eastAsia"/>
                <w:sz w:val="24"/>
              </w:rPr>
            </w:pPr>
            <w:r>
              <w:rPr>
                <w:rFonts w:hint="eastAsia"/>
                <w:sz w:val="24"/>
              </w:rPr>
              <w:t>4.土壤类型 soil type ：根据生物气候条件、人为因素等成土条件和成土过程以及剖面形态、土壤属性划分。</w:t>
            </w:r>
          </w:p>
          <w:p w14:paraId="1AACC018">
            <w:pPr>
              <w:spacing w:line="340" w:lineRule="exact"/>
              <w:ind w:firstLine="480" w:firstLineChars="200"/>
              <w:rPr>
                <w:rFonts w:hint="eastAsia"/>
                <w:sz w:val="24"/>
              </w:rPr>
            </w:pPr>
            <w:r>
              <w:rPr>
                <w:rFonts w:hint="eastAsia"/>
                <w:sz w:val="24"/>
              </w:rPr>
              <w:t>5.分位值 fractile ：与随机变量概率分布函数的某一概率相应的值。</w:t>
            </w:r>
          </w:p>
          <w:p w14:paraId="44E13941">
            <w:pPr>
              <w:spacing w:line="340" w:lineRule="exact"/>
              <w:ind w:firstLine="480" w:firstLineChars="200"/>
              <w:rPr>
                <w:rFonts w:hint="eastAsia"/>
                <w:sz w:val="24"/>
              </w:rPr>
            </w:pPr>
            <w:r>
              <w:rPr>
                <w:rFonts w:hint="eastAsia"/>
                <w:sz w:val="24"/>
              </w:rPr>
              <w:t>6.成土母质 parent materials：地表岩石经风化作用形成的松散风化物，是土壤形成的物质基础和植物矿物养分元素（除氮外）最初来源。</w:t>
            </w:r>
          </w:p>
          <w:p w14:paraId="044257E8">
            <w:pPr>
              <w:spacing w:line="340" w:lineRule="exact"/>
              <w:ind w:firstLine="482" w:firstLineChars="200"/>
              <w:rPr>
                <w:rFonts w:hint="eastAsia" w:eastAsia="宋体"/>
                <w:b/>
                <w:sz w:val="24"/>
                <w:lang w:eastAsia="zh-CN"/>
              </w:rPr>
            </w:pPr>
            <w:r>
              <w:rPr>
                <w:rFonts w:hint="eastAsia"/>
                <w:b/>
                <w:sz w:val="24"/>
              </w:rPr>
              <w:t>（三）</w:t>
            </w:r>
            <w:r>
              <w:rPr>
                <w:rFonts w:hint="eastAsia"/>
                <w:b/>
                <w:sz w:val="24"/>
                <w:lang w:eastAsia="zh-CN"/>
              </w:rPr>
              <w:t>土壤元素的选择</w:t>
            </w:r>
          </w:p>
          <w:p w14:paraId="07C9A97C">
            <w:pPr>
              <w:spacing w:line="340" w:lineRule="exact"/>
              <w:ind w:firstLine="480" w:firstLineChars="200"/>
              <w:rPr>
                <w:rFonts w:hint="eastAsia"/>
                <w:sz w:val="24"/>
              </w:rPr>
            </w:pPr>
            <w:r>
              <w:rPr>
                <w:rFonts w:hint="eastAsia"/>
                <w:sz w:val="24"/>
              </w:rPr>
              <w:t>土壤元素的选择主要参考《土壤环境质量 农用地土壤污染风险管控标准（试行）》（GB 15618-2018）和《土壤环境质量 建设用地土壤污染风险管控标准（试行）》（GB36600-2018）标准，筛选出基本项目中的镉、汞、砷、铅、铬、铜、镍、锌和其他项目中的锑、铍、钴、钒。另外参考深圳、韶关、东莞、安徽、苏州等其他地区环境背景值调查检测指标中出现频率较高的有砷、镉、铜、铅、汞、镍、锑、铍、钴、矾、铬、硒、锌、锰等作为检测指标。此外，根据武汉市区域土壤环境研究，汞、铅、锌、铜、铬、砷、镉的累积较为明显。武汉市区域土壤环境环境中重金属汞、镉、铅、锌、铜、铬和砷为区域特色污染物。最终选取的土壤元素为14种重金属砷、镉、铜、铅、汞、镍、锑、铍、钴、矾、铬、硒、锌、锰。</w:t>
            </w:r>
          </w:p>
          <w:p w14:paraId="28C6F924">
            <w:pPr>
              <w:spacing w:line="340" w:lineRule="exact"/>
              <w:ind w:firstLine="482" w:firstLineChars="200"/>
              <w:rPr>
                <w:rFonts w:hint="eastAsia" w:eastAsia="宋体"/>
                <w:b/>
                <w:sz w:val="24"/>
                <w:lang w:eastAsia="zh-CN"/>
              </w:rPr>
            </w:pPr>
            <w:r>
              <w:rPr>
                <w:rFonts w:hint="eastAsia"/>
                <w:b/>
                <w:sz w:val="24"/>
              </w:rPr>
              <w:t>（四）</w:t>
            </w:r>
            <w:r>
              <w:rPr>
                <w:rFonts w:hint="eastAsia"/>
                <w:b/>
                <w:sz w:val="24"/>
                <w:lang w:eastAsia="zh-CN"/>
              </w:rPr>
              <w:t>土壤环境背景值确定过程</w:t>
            </w:r>
          </w:p>
          <w:p w14:paraId="63EF1435">
            <w:pPr>
              <w:spacing w:line="340" w:lineRule="exact"/>
              <w:ind w:firstLine="480" w:firstLineChars="200"/>
              <w:rPr>
                <w:rFonts w:hint="eastAsia"/>
                <w:sz w:val="24"/>
              </w:rPr>
            </w:pPr>
            <w:r>
              <w:rPr>
                <w:rFonts w:hint="eastAsia"/>
                <w:sz w:val="24"/>
              </w:rPr>
              <w:t>1.土壤环境背景值含义分析</w:t>
            </w:r>
          </w:p>
          <w:p w14:paraId="20F0B1FC">
            <w:pPr>
              <w:spacing w:line="340" w:lineRule="exact"/>
              <w:ind w:firstLine="480" w:firstLineChars="200"/>
              <w:rPr>
                <w:rFonts w:hint="eastAsia"/>
                <w:sz w:val="24"/>
              </w:rPr>
            </w:pPr>
            <w:r>
              <w:rPr>
                <w:rFonts w:hint="eastAsia"/>
                <w:sz w:val="24"/>
              </w:rPr>
              <w:t>从土壤环境背景值的表述来看，土壤环境背景值具有双重属性，一个是自然属性，其含量包含了自然背景的一部分，一个是人为属性，包含了一定的面源污染物（如大气降尘等）。其概念包含了以下几个方面：1）背景值只是一个相对的概念，具有随时间变化的特征；2）背景值受自然成因和人为活动的双重影响，自然成因和人为活动的影响区域一般是非重合的；3）背景值可以是全国性背景值、区域性背景值、局域性背景值、地质单元背景值、土壤类型背景值等；4）背景值具有相对代表性，背景值由于受多重因素控制，往往是分布形态复杂。</w:t>
            </w:r>
          </w:p>
          <w:p w14:paraId="1D6C2F02">
            <w:pPr>
              <w:spacing w:line="340" w:lineRule="exact"/>
              <w:ind w:firstLine="480" w:firstLineChars="200"/>
              <w:rPr>
                <w:rFonts w:hint="eastAsia"/>
                <w:sz w:val="24"/>
              </w:rPr>
            </w:pPr>
            <w:r>
              <w:rPr>
                <w:rFonts w:hint="eastAsia"/>
                <w:sz w:val="24"/>
              </w:rPr>
              <w:t>2.土壤样品数据的评估</w:t>
            </w:r>
          </w:p>
          <w:p w14:paraId="450E0C21">
            <w:pPr>
              <w:spacing w:line="340" w:lineRule="exact"/>
              <w:ind w:firstLine="480" w:firstLineChars="200"/>
              <w:rPr>
                <w:rFonts w:hint="eastAsia"/>
                <w:sz w:val="24"/>
              </w:rPr>
            </w:pPr>
            <w:r>
              <w:rPr>
                <w:rFonts w:hint="eastAsia"/>
                <w:sz w:val="24"/>
              </w:rPr>
              <w:t>（1）数据来源</w:t>
            </w:r>
          </w:p>
          <w:p w14:paraId="3C15F55A">
            <w:pPr>
              <w:spacing w:line="340" w:lineRule="exact"/>
              <w:ind w:firstLine="480" w:firstLineChars="200"/>
              <w:rPr>
                <w:rFonts w:hint="eastAsia"/>
                <w:sz w:val="24"/>
              </w:rPr>
            </w:pPr>
            <w:r>
              <w:rPr>
                <w:rFonts w:hint="eastAsia"/>
                <w:sz w:val="24"/>
              </w:rPr>
              <w:t>此次统计数据主要来源于本次武汉土壤环境背景值调查采样数据。本次调查数据共502个点位，根据《区域性土壤环境背景含量统计技术导则（试行）》（HJ 1185-2021），在点位选择时，应尽量避开工矿企业及周边5km范围，以避开人为影响源对土壤环境背景值调查影响。武汉市以工业园区作为影响源，划定5km范围。划定时，统计武汉市重点行业企业、武汉市土壤污染重点监管单位名录企业、武汉市建设用地污染地块开发利用负面清单企业所在工业园区，纳入园区及5km范围；对于极少数分布于工业园区外的土壤重点污染源，如垃圾填埋、垃圾发电、危废填埋、尾矿库、工业聚集区为基础，划定5km范围。</w:t>
            </w:r>
          </w:p>
          <w:p w14:paraId="245426A5">
            <w:pPr>
              <w:spacing w:line="340" w:lineRule="exact"/>
              <w:ind w:firstLine="480" w:firstLineChars="200"/>
              <w:rPr>
                <w:rFonts w:hint="eastAsia"/>
                <w:sz w:val="24"/>
              </w:rPr>
            </w:pPr>
            <w:r>
              <w:rPr>
                <w:rFonts w:hint="eastAsia"/>
                <w:sz w:val="24"/>
              </w:rPr>
              <w:t>样品的采集、流转、制备及分析结果均符合国家或行业标准，调查过程均具有完善的质量控制措施，数据真实可靠。</w:t>
            </w:r>
          </w:p>
          <w:p w14:paraId="3E2D0135">
            <w:pPr>
              <w:spacing w:line="340" w:lineRule="exact"/>
              <w:ind w:firstLine="480" w:firstLineChars="200"/>
              <w:rPr>
                <w:rFonts w:hint="eastAsia"/>
                <w:sz w:val="24"/>
              </w:rPr>
            </w:pPr>
            <w:r>
              <w:rPr>
                <w:rFonts w:hint="eastAsia"/>
                <w:sz w:val="24"/>
              </w:rPr>
              <w:t>（2）数据处理</w:t>
            </w:r>
          </w:p>
          <w:p w14:paraId="5F4AD24D">
            <w:pPr>
              <w:spacing w:line="340" w:lineRule="exact"/>
              <w:ind w:firstLine="480" w:firstLineChars="200"/>
              <w:rPr>
                <w:rFonts w:hint="eastAsia"/>
                <w:sz w:val="24"/>
              </w:rPr>
            </w:pPr>
            <w:r>
              <w:rPr>
                <w:rFonts w:hint="eastAsia"/>
                <w:sz w:val="24"/>
              </w:rPr>
              <w:t>基于武昌片区、汉阳片区和汉口片区共计9个统计单元，开展了14种重金属数据正态分布检验、异常值判别和数据统计表证，绘制了3大片区各指标的分层浓度分布图。</w:t>
            </w:r>
          </w:p>
          <w:p w14:paraId="31794508">
            <w:pPr>
              <w:spacing w:line="340" w:lineRule="exact"/>
              <w:ind w:firstLine="480" w:firstLineChars="200"/>
              <w:rPr>
                <w:rFonts w:hint="eastAsia"/>
                <w:sz w:val="24"/>
              </w:rPr>
            </w:pPr>
            <w:r>
              <w:rPr>
                <w:rFonts w:hint="eastAsia"/>
                <w:sz w:val="24"/>
              </w:rPr>
              <w:t>数据分布类型检验方面，采用SPSS 软件进行了个统计单元的数据正态性分布检验，非正态分布的数据，进行适当的正态转换后再进行正态性检验。正态转换包括开方、取以10为底的对数（以下简称取对数）、取倒数等方法。</w:t>
            </w:r>
          </w:p>
          <w:p w14:paraId="28C99E8A">
            <w:pPr>
              <w:spacing w:line="340" w:lineRule="exact"/>
              <w:ind w:firstLine="480" w:firstLineChars="200"/>
              <w:rPr>
                <w:rFonts w:hint="eastAsia"/>
                <w:sz w:val="24"/>
              </w:rPr>
            </w:pPr>
            <w:r>
              <w:rPr>
                <w:rFonts w:hint="eastAsia"/>
                <w:sz w:val="24"/>
              </w:rPr>
              <w:t>异常值判别方面，采用格拉布斯（Grubbs）检验法、狄克逊（Dixon）检验法、T（Thompson）检验法、箱线图法对各统计单元开展了异常值筛选。按照异常值判别原则，对筛选的异常值，进行了逐个判别和处理。</w:t>
            </w:r>
          </w:p>
          <w:p w14:paraId="441961FA">
            <w:pPr>
              <w:spacing w:line="340" w:lineRule="exact"/>
              <w:ind w:firstLine="480" w:firstLineChars="200"/>
              <w:rPr>
                <w:rFonts w:hint="eastAsia"/>
                <w:sz w:val="24"/>
              </w:rPr>
            </w:pPr>
            <w:r>
              <w:rPr>
                <w:rFonts w:hint="eastAsia"/>
                <w:sz w:val="24"/>
              </w:rPr>
              <w:t>异常值处理后，对各统计单元样点土壤重金属再次检验数据分布类型，开展了各统计单元的土壤环境背景含量统计。根据含量统计，形成武昌片区土壤pH值和重金属分布图、汉阳片区土壤pH值和重金属浓度分布图、汉口片区土壤pH值和重金属浓度分布图，以及总体pH值和重金属浓度分布图。</w:t>
            </w:r>
          </w:p>
          <w:p w14:paraId="3D8334F1">
            <w:pPr>
              <w:spacing w:line="340" w:lineRule="exact"/>
              <w:ind w:firstLine="480" w:firstLineChars="200"/>
              <w:rPr>
                <w:rFonts w:hint="eastAsia"/>
                <w:sz w:val="24"/>
              </w:rPr>
            </w:pPr>
            <w:r>
              <w:rPr>
                <w:rFonts w:hint="eastAsia"/>
                <w:sz w:val="24"/>
              </w:rPr>
              <w:t>3.统计单元划分</w:t>
            </w:r>
          </w:p>
          <w:p w14:paraId="05ED51E8">
            <w:pPr>
              <w:spacing w:line="340" w:lineRule="exact"/>
              <w:ind w:firstLine="480" w:firstLineChars="200"/>
              <w:rPr>
                <w:rFonts w:hint="eastAsia"/>
                <w:sz w:val="24"/>
              </w:rPr>
            </w:pPr>
            <w:r>
              <w:rPr>
                <w:rFonts w:hint="eastAsia"/>
                <w:sz w:val="24"/>
              </w:rPr>
              <w:t>结合武汉市实际情况，统计单元划分主要以武汉市土壤类型分布结合成土母质（岩）类型特征，结合武汉市江河（长江、汉江）分布特征进行划分，分为汉口片区、汉阳片区和武昌片区。</w:t>
            </w:r>
          </w:p>
          <w:p w14:paraId="0E144256">
            <w:pPr>
              <w:spacing w:line="340" w:lineRule="exact"/>
              <w:ind w:firstLine="480" w:firstLineChars="200"/>
              <w:rPr>
                <w:rFonts w:hint="eastAsia"/>
                <w:sz w:val="24"/>
              </w:rPr>
            </w:pPr>
            <w:r>
              <w:rPr>
                <w:rFonts w:hint="eastAsia"/>
                <w:sz w:val="24"/>
              </w:rPr>
              <w:t>为更加科学的表征土壤环境背景值，根据调查计划，本次数据处理分析将调查范围内502个样点按照调查区域和样点实际土壤类型从三大片区中划分9个统计单元，具体各单元的划分情况如下表。</w:t>
            </w:r>
          </w:p>
          <w:p w14:paraId="0B3868CC">
            <w:pPr>
              <w:pStyle w:val="4"/>
              <w:ind w:firstLine="0" w:firstLineChars="0"/>
              <w:jc w:val="center"/>
              <w:rPr>
                <w:b/>
                <w:bCs/>
                <w:sz w:val="21"/>
              </w:rPr>
            </w:pPr>
            <w:r>
              <w:rPr>
                <w:b/>
                <w:bCs/>
                <w:sz w:val="21"/>
              </w:rPr>
              <w:t>表</w:t>
            </w:r>
            <w:r>
              <w:rPr>
                <w:rFonts w:hint="eastAsia"/>
                <w:b/>
                <w:bCs/>
                <w:sz w:val="21"/>
                <w:lang w:val="en-US" w:eastAsia="zh-CN"/>
              </w:rPr>
              <w:t>1</w:t>
            </w:r>
            <w:r>
              <w:rPr>
                <w:b/>
                <w:bCs/>
                <w:sz w:val="21"/>
              </w:rPr>
              <w:t xml:space="preserve"> </w:t>
            </w:r>
            <w:r>
              <w:rPr>
                <w:rFonts w:hint="eastAsia"/>
                <w:b/>
                <w:bCs/>
                <w:sz w:val="21"/>
              </w:rPr>
              <w:t>统计单元划分情况一览表</w:t>
            </w:r>
          </w:p>
          <w:tbl>
            <w:tblPr>
              <w:tblStyle w:val="2"/>
              <w:tblW w:w="4998" w:type="pct"/>
              <w:tblInd w:w="0" w:type="dxa"/>
              <w:tblLayout w:type="fixed"/>
              <w:tblCellMar>
                <w:top w:w="0" w:type="dxa"/>
                <w:left w:w="108" w:type="dxa"/>
                <w:bottom w:w="0" w:type="dxa"/>
                <w:right w:w="108" w:type="dxa"/>
              </w:tblCellMar>
            </w:tblPr>
            <w:tblGrid>
              <w:gridCol w:w="1120"/>
              <w:gridCol w:w="2239"/>
              <w:gridCol w:w="2239"/>
              <w:gridCol w:w="2239"/>
              <w:gridCol w:w="1682"/>
            </w:tblGrid>
            <w:tr w14:paraId="496CD4AB">
              <w:tblPrEx>
                <w:tblCellMar>
                  <w:top w:w="0" w:type="dxa"/>
                  <w:left w:w="108" w:type="dxa"/>
                  <w:bottom w:w="0" w:type="dxa"/>
                  <w:right w:w="108" w:type="dxa"/>
                </w:tblCellMar>
              </w:tblPrEx>
              <w:trPr>
                <w:trHeight w:val="20" w:hRule="atLeast"/>
                <w:tblHeader/>
              </w:trPr>
              <w:tc>
                <w:tcPr>
                  <w:tcW w:w="588" w:type="pct"/>
                  <w:tcBorders>
                    <w:top w:val="single" w:color="auto" w:sz="4" w:space="0"/>
                    <w:left w:val="single" w:color="auto" w:sz="4" w:space="0"/>
                    <w:bottom w:val="single" w:color="000000" w:sz="4" w:space="0"/>
                    <w:right w:val="single" w:color="auto" w:sz="4" w:space="0"/>
                  </w:tcBorders>
                  <w:shd w:val="clear" w:color="auto" w:fill="auto"/>
                  <w:vAlign w:val="center"/>
                </w:tcPr>
                <w:p w14:paraId="4712AC8D">
                  <w:pPr>
                    <w:jc w:val="center"/>
                    <w:rPr>
                      <w:b/>
                      <w:bCs/>
                      <w:color w:val="000000"/>
                      <w:sz w:val="21"/>
                      <w:szCs w:val="21"/>
                    </w:rPr>
                  </w:pPr>
                  <w:r>
                    <w:rPr>
                      <w:rFonts w:hint="eastAsia"/>
                      <w:b/>
                      <w:bCs/>
                      <w:color w:val="000000"/>
                      <w:sz w:val="21"/>
                      <w:szCs w:val="21"/>
                    </w:rPr>
                    <w:t>土类</w:t>
                  </w:r>
                </w:p>
              </w:tc>
              <w:tc>
                <w:tcPr>
                  <w:tcW w:w="1176" w:type="pct"/>
                  <w:tcBorders>
                    <w:top w:val="single" w:color="auto" w:sz="4" w:space="0"/>
                    <w:left w:val="nil"/>
                    <w:bottom w:val="single" w:color="auto" w:sz="4" w:space="0"/>
                    <w:right w:val="single" w:color="auto" w:sz="4" w:space="0"/>
                  </w:tcBorders>
                  <w:shd w:val="clear" w:color="auto" w:fill="auto"/>
                  <w:vAlign w:val="center"/>
                </w:tcPr>
                <w:p w14:paraId="55E2C45A">
                  <w:pPr>
                    <w:jc w:val="center"/>
                    <w:rPr>
                      <w:b/>
                      <w:bCs/>
                      <w:color w:val="000000"/>
                      <w:sz w:val="21"/>
                      <w:szCs w:val="21"/>
                    </w:rPr>
                  </w:pPr>
                  <w:r>
                    <w:rPr>
                      <w:rFonts w:hint="eastAsia"/>
                      <w:b/>
                      <w:bCs/>
                      <w:color w:val="000000"/>
                      <w:sz w:val="21"/>
                      <w:szCs w:val="21"/>
                    </w:rPr>
                    <w:t>汉阳片区样点数</w:t>
                  </w:r>
                </w:p>
              </w:tc>
              <w:tc>
                <w:tcPr>
                  <w:tcW w:w="1176" w:type="pct"/>
                  <w:tcBorders>
                    <w:top w:val="single" w:color="auto" w:sz="4" w:space="0"/>
                    <w:left w:val="nil"/>
                    <w:bottom w:val="single" w:color="auto" w:sz="4" w:space="0"/>
                    <w:right w:val="single" w:color="auto" w:sz="4" w:space="0"/>
                  </w:tcBorders>
                  <w:shd w:val="clear" w:color="auto" w:fill="auto"/>
                  <w:vAlign w:val="center"/>
                </w:tcPr>
                <w:p w14:paraId="695A960B">
                  <w:pPr>
                    <w:jc w:val="center"/>
                    <w:rPr>
                      <w:b/>
                      <w:bCs/>
                      <w:color w:val="000000"/>
                      <w:sz w:val="21"/>
                      <w:szCs w:val="21"/>
                    </w:rPr>
                  </w:pPr>
                  <w:r>
                    <w:rPr>
                      <w:rFonts w:hint="eastAsia"/>
                      <w:b/>
                      <w:bCs/>
                      <w:color w:val="000000"/>
                      <w:sz w:val="21"/>
                      <w:szCs w:val="21"/>
                    </w:rPr>
                    <w:t>武昌片区样点数</w:t>
                  </w:r>
                </w:p>
              </w:tc>
              <w:tc>
                <w:tcPr>
                  <w:tcW w:w="1176" w:type="pct"/>
                  <w:tcBorders>
                    <w:top w:val="single" w:color="auto" w:sz="4" w:space="0"/>
                    <w:left w:val="nil"/>
                    <w:bottom w:val="single" w:color="auto" w:sz="4" w:space="0"/>
                    <w:right w:val="single" w:color="auto" w:sz="4" w:space="0"/>
                  </w:tcBorders>
                  <w:shd w:val="clear" w:color="auto" w:fill="auto"/>
                  <w:vAlign w:val="center"/>
                </w:tcPr>
                <w:p w14:paraId="26F3DCFB">
                  <w:pPr>
                    <w:jc w:val="center"/>
                    <w:rPr>
                      <w:b/>
                      <w:bCs/>
                      <w:color w:val="000000"/>
                      <w:sz w:val="21"/>
                      <w:szCs w:val="21"/>
                    </w:rPr>
                  </w:pPr>
                  <w:r>
                    <w:rPr>
                      <w:rFonts w:hint="eastAsia"/>
                      <w:b/>
                      <w:bCs/>
                      <w:color w:val="000000"/>
                      <w:sz w:val="21"/>
                      <w:szCs w:val="21"/>
                    </w:rPr>
                    <w:t>汉口片区样点数</w:t>
                  </w:r>
                </w:p>
              </w:tc>
              <w:tc>
                <w:tcPr>
                  <w:tcW w:w="883" w:type="pct"/>
                  <w:tcBorders>
                    <w:top w:val="single" w:color="auto" w:sz="4" w:space="0"/>
                    <w:left w:val="nil"/>
                    <w:bottom w:val="single" w:color="auto" w:sz="4" w:space="0"/>
                    <w:right w:val="single" w:color="auto" w:sz="4" w:space="0"/>
                  </w:tcBorders>
                  <w:shd w:val="clear" w:color="auto" w:fill="auto"/>
                  <w:vAlign w:val="center"/>
                </w:tcPr>
                <w:p w14:paraId="7A5D8C7E">
                  <w:pPr>
                    <w:jc w:val="center"/>
                    <w:rPr>
                      <w:b/>
                      <w:bCs/>
                      <w:color w:val="000000"/>
                      <w:sz w:val="21"/>
                      <w:szCs w:val="21"/>
                    </w:rPr>
                  </w:pPr>
                  <w:r>
                    <w:rPr>
                      <w:rFonts w:hint="eastAsia"/>
                      <w:b/>
                      <w:bCs/>
                      <w:color w:val="000000"/>
                      <w:sz w:val="21"/>
                      <w:szCs w:val="21"/>
                    </w:rPr>
                    <w:t>合计（个）</w:t>
                  </w:r>
                </w:p>
              </w:tc>
            </w:tr>
            <w:tr w14:paraId="46F176EB">
              <w:tblPrEx>
                <w:tblCellMar>
                  <w:top w:w="0" w:type="dxa"/>
                  <w:left w:w="108" w:type="dxa"/>
                  <w:bottom w:w="0" w:type="dxa"/>
                  <w:right w:w="108" w:type="dxa"/>
                </w:tblCellMar>
              </w:tblPrEx>
              <w:trPr>
                <w:trHeight w:val="20" w:hRule="atLeast"/>
              </w:trPr>
              <w:tc>
                <w:tcPr>
                  <w:tcW w:w="588" w:type="pct"/>
                  <w:tcBorders>
                    <w:top w:val="nil"/>
                    <w:left w:val="single" w:color="auto" w:sz="4" w:space="0"/>
                    <w:bottom w:val="single" w:color="auto" w:sz="4" w:space="0"/>
                    <w:right w:val="single" w:color="auto" w:sz="4" w:space="0"/>
                  </w:tcBorders>
                  <w:shd w:val="clear" w:color="auto" w:fill="auto"/>
                  <w:vAlign w:val="center"/>
                </w:tcPr>
                <w:p w14:paraId="60315A76">
                  <w:pPr>
                    <w:jc w:val="center"/>
                    <w:rPr>
                      <w:color w:val="000000"/>
                      <w:sz w:val="21"/>
                      <w:szCs w:val="21"/>
                    </w:rPr>
                  </w:pPr>
                  <w:r>
                    <w:rPr>
                      <w:rFonts w:hint="eastAsia"/>
                      <w:color w:val="000000"/>
                      <w:sz w:val="21"/>
                      <w:szCs w:val="21"/>
                    </w:rPr>
                    <w:t>水稻土</w:t>
                  </w:r>
                </w:p>
              </w:tc>
              <w:tc>
                <w:tcPr>
                  <w:tcW w:w="1176" w:type="pct"/>
                  <w:tcBorders>
                    <w:top w:val="nil"/>
                    <w:left w:val="nil"/>
                    <w:bottom w:val="single" w:color="auto" w:sz="4" w:space="0"/>
                    <w:right w:val="single" w:color="auto" w:sz="4" w:space="0"/>
                  </w:tcBorders>
                  <w:shd w:val="clear" w:color="auto" w:fill="auto"/>
                  <w:vAlign w:val="center"/>
                </w:tcPr>
                <w:p w14:paraId="307FDFE9">
                  <w:pPr>
                    <w:jc w:val="center"/>
                    <w:rPr>
                      <w:rFonts w:ascii="Times New Roman" w:hAnsi="Times New Roman" w:cs="Times New Roman"/>
                      <w:color w:val="000000"/>
                      <w:sz w:val="21"/>
                      <w:szCs w:val="21"/>
                    </w:rPr>
                  </w:pPr>
                  <w:r>
                    <w:rPr>
                      <w:rFonts w:ascii="Times New Roman" w:hAnsi="Times New Roman" w:cs="Times New Roman"/>
                      <w:color w:val="000000"/>
                      <w:sz w:val="21"/>
                      <w:szCs w:val="21"/>
                    </w:rPr>
                    <w:t>34</w:t>
                  </w:r>
                </w:p>
              </w:tc>
              <w:tc>
                <w:tcPr>
                  <w:tcW w:w="1176" w:type="pct"/>
                  <w:tcBorders>
                    <w:top w:val="nil"/>
                    <w:left w:val="nil"/>
                    <w:bottom w:val="single" w:color="auto" w:sz="4" w:space="0"/>
                    <w:right w:val="single" w:color="auto" w:sz="4" w:space="0"/>
                  </w:tcBorders>
                  <w:shd w:val="clear" w:color="auto" w:fill="auto"/>
                  <w:vAlign w:val="center"/>
                </w:tcPr>
                <w:p w14:paraId="0DBB48C2">
                  <w:pPr>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41</w:t>
                  </w:r>
                </w:p>
              </w:tc>
              <w:tc>
                <w:tcPr>
                  <w:tcW w:w="1176" w:type="pct"/>
                  <w:tcBorders>
                    <w:top w:val="nil"/>
                    <w:left w:val="nil"/>
                    <w:bottom w:val="single" w:color="auto" w:sz="4" w:space="0"/>
                    <w:right w:val="single" w:color="auto" w:sz="4" w:space="0"/>
                  </w:tcBorders>
                  <w:shd w:val="clear" w:color="auto" w:fill="auto"/>
                  <w:vAlign w:val="center"/>
                </w:tcPr>
                <w:p w14:paraId="0CD5DB9A">
                  <w:pPr>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96</w:t>
                  </w:r>
                </w:p>
              </w:tc>
              <w:tc>
                <w:tcPr>
                  <w:tcW w:w="883" w:type="pct"/>
                  <w:tcBorders>
                    <w:top w:val="nil"/>
                    <w:left w:val="nil"/>
                    <w:bottom w:val="single" w:color="auto" w:sz="4" w:space="0"/>
                    <w:right w:val="single" w:color="auto" w:sz="4" w:space="0"/>
                  </w:tcBorders>
                  <w:shd w:val="clear" w:color="auto" w:fill="auto"/>
                  <w:vAlign w:val="center"/>
                </w:tcPr>
                <w:p w14:paraId="0AADC891">
                  <w:pPr>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171</w:t>
                  </w:r>
                </w:p>
              </w:tc>
            </w:tr>
            <w:tr w14:paraId="14B60208">
              <w:tblPrEx>
                <w:tblCellMar>
                  <w:top w:w="0" w:type="dxa"/>
                  <w:left w:w="108" w:type="dxa"/>
                  <w:bottom w:w="0" w:type="dxa"/>
                  <w:right w:w="108" w:type="dxa"/>
                </w:tblCellMar>
              </w:tblPrEx>
              <w:trPr>
                <w:trHeight w:val="20" w:hRule="atLeast"/>
              </w:trPr>
              <w:tc>
                <w:tcPr>
                  <w:tcW w:w="588" w:type="pct"/>
                  <w:tcBorders>
                    <w:top w:val="nil"/>
                    <w:left w:val="single" w:color="auto" w:sz="4" w:space="0"/>
                    <w:bottom w:val="single" w:color="auto" w:sz="4" w:space="0"/>
                    <w:right w:val="single" w:color="auto" w:sz="4" w:space="0"/>
                  </w:tcBorders>
                  <w:shd w:val="clear" w:color="auto" w:fill="auto"/>
                  <w:vAlign w:val="center"/>
                </w:tcPr>
                <w:p w14:paraId="69381344">
                  <w:pPr>
                    <w:jc w:val="center"/>
                    <w:rPr>
                      <w:color w:val="000000"/>
                      <w:sz w:val="21"/>
                      <w:szCs w:val="21"/>
                    </w:rPr>
                  </w:pPr>
                  <w:r>
                    <w:rPr>
                      <w:rFonts w:hint="eastAsia"/>
                      <w:color w:val="000000"/>
                      <w:sz w:val="21"/>
                      <w:szCs w:val="21"/>
                    </w:rPr>
                    <w:t>潮土</w:t>
                  </w:r>
                </w:p>
              </w:tc>
              <w:tc>
                <w:tcPr>
                  <w:tcW w:w="1176" w:type="pct"/>
                  <w:tcBorders>
                    <w:top w:val="nil"/>
                    <w:left w:val="nil"/>
                    <w:bottom w:val="single" w:color="auto" w:sz="4" w:space="0"/>
                    <w:right w:val="single" w:color="auto" w:sz="4" w:space="0"/>
                  </w:tcBorders>
                  <w:shd w:val="clear" w:color="auto" w:fill="auto"/>
                  <w:vAlign w:val="center"/>
                </w:tcPr>
                <w:p w14:paraId="5096C412">
                  <w:pPr>
                    <w:jc w:val="center"/>
                    <w:rPr>
                      <w:rFonts w:ascii="Times New Roman" w:hAnsi="Times New Roman" w:cs="Times New Roman"/>
                      <w:color w:val="000000"/>
                      <w:sz w:val="21"/>
                      <w:szCs w:val="21"/>
                    </w:rPr>
                  </w:pPr>
                  <w:r>
                    <w:rPr>
                      <w:rFonts w:ascii="Times New Roman" w:hAnsi="Times New Roman" w:cs="Times New Roman"/>
                      <w:color w:val="000000"/>
                      <w:sz w:val="21"/>
                      <w:szCs w:val="21"/>
                    </w:rPr>
                    <w:t>36</w:t>
                  </w:r>
                </w:p>
              </w:tc>
              <w:tc>
                <w:tcPr>
                  <w:tcW w:w="1176" w:type="pct"/>
                  <w:tcBorders>
                    <w:top w:val="nil"/>
                    <w:left w:val="nil"/>
                    <w:bottom w:val="single" w:color="auto" w:sz="4" w:space="0"/>
                    <w:right w:val="single" w:color="auto" w:sz="4" w:space="0"/>
                  </w:tcBorders>
                  <w:shd w:val="clear" w:color="auto" w:fill="auto"/>
                  <w:vAlign w:val="center"/>
                </w:tcPr>
                <w:p w14:paraId="3BC749DD">
                  <w:pPr>
                    <w:jc w:val="center"/>
                    <w:rPr>
                      <w:rFonts w:ascii="Times New Roman" w:hAnsi="Times New Roman" w:cs="Times New Roman"/>
                      <w:color w:val="000000"/>
                      <w:sz w:val="21"/>
                      <w:szCs w:val="21"/>
                    </w:rPr>
                  </w:pPr>
                  <w:r>
                    <w:rPr>
                      <w:rFonts w:ascii="Times New Roman" w:hAnsi="Times New Roman" w:cs="Times New Roman"/>
                      <w:color w:val="000000"/>
                      <w:sz w:val="21"/>
                      <w:szCs w:val="21"/>
                    </w:rPr>
                    <w:t>34</w:t>
                  </w:r>
                </w:p>
              </w:tc>
              <w:tc>
                <w:tcPr>
                  <w:tcW w:w="1176" w:type="pct"/>
                  <w:tcBorders>
                    <w:top w:val="nil"/>
                    <w:left w:val="nil"/>
                    <w:bottom w:val="single" w:color="auto" w:sz="4" w:space="0"/>
                    <w:right w:val="single" w:color="auto" w:sz="4" w:space="0"/>
                  </w:tcBorders>
                  <w:shd w:val="clear" w:color="auto" w:fill="auto"/>
                  <w:vAlign w:val="center"/>
                </w:tcPr>
                <w:p w14:paraId="33990975">
                  <w:pPr>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51</w:t>
                  </w:r>
                </w:p>
              </w:tc>
              <w:tc>
                <w:tcPr>
                  <w:tcW w:w="883" w:type="pct"/>
                  <w:tcBorders>
                    <w:top w:val="nil"/>
                    <w:left w:val="nil"/>
                    <w:bottom w:val="single" w:color="auto" w:sz="4" w:space="0"/>
                    <w:right w:val="single" w:color="auto" w:sz="4" w:space="0"/>
                  </w:tcBorders>
                  <w:shd w:val="clear" w:color="auto" w:fill="auto"/>
                  <w:vAlign w:val="center"/>
                </w:tcPr>
                <w:p w14:paraId="76E49B61">
                  <w:pPr>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121</w:t>
                  </w:r>
                </w:p>
              </w:tc>
            </w:tr>
            <w:tr w14:paraId="746C2399">
              <w:tblPrEx>
                <w:tblCellMar>
                  <w:top w:w="0" w:type="dxa"/>
                  <w:left w:w="108" w:type="dxa"/>
                  <w:bottom w:w="0" w:type="dxa"/>
                  <w:right w:w="108" w:type="dxa"/>
                </w:tblCellMar>
              </w:tblPrEx>
              <w:trPr>
                <w:trHeight w:val="20" w:hRule="atLeast"/>
              </w:trPr>
              <w:tc>
                <w:tcPr>
                  <w:tcW w:w="588" w:type="pct"/>
                  <w:tcBorders>
                    <w:top w:val="nil"/>
                    <w:left w:val="single" w:color="auto" w:sz="4" w:space="0"/>
                    <w:bottom w:val="single" w:color="auto" w:sz="4" w:space="0"/>
                    <w:right w:val="single" w:color="auto" w:sz="4" w:space="0"/>
                  </w:tcBorders>
                  <w:shd w:val="clear" w:color="auto" w:fill="auto"/>
                  <w:vAlign w:val="center"/>
                </w:tcPr>
                <w:p w14:paraId="129DCC71">
                  <w:pPr>
                    <w:jc w:val="center"/>
                    <w:rPr>
                      <w:color w:val="000000"/>
                      <w:sz w:val="21"/>
                      <w:szCs w:val="21"/>
                    </w:rPr>
                  </w:pPr>
                  <w:r>
                    <w:rPr>
                      <w:rFonts w:hint="eastAsia"/>
                      <w:color w:val="000000"/>
                      <w:sz w:val="21"/>
                      <w:szCs w:val="21"/>
                    </w:rPr>
                    <w:t>黄棕壤</w:t>
                  </w:r>
                </w:p>
              </w:tc>
              <w:tc>
                <w:tcPr>
                  <w:tcW w:w="1176" w:type="pct"/>
                  <w:tcBorders>
                    <w:top w:val="nil"/>
                    <w:left w:val="nil"/>
                    <w:bottom w:val="single" w:color="auto" w:sz="4" w:space="0"/>
                    <w:right w:val="single" w:color="auto" w:sz="4" w:space="0"/>
                  </w:tcBorders>
                  <w:shd w:val="clear" w:color="auto" w:fill="auto"/>
                  <w:vAlign w:val="center"/>
                </w:tcPr>
                <w:p w14:paraId="1AD1B4B5">
                  <w:pPr>
                    <w:jc w:val="center"/>
                    <w:rPr>
                      <w:rFonts w:ascii="Times New Roman" w:hAnsi="Times New Roman" w:cs="Times New Roman"/>
                      <w:color w:val="000000"/>
                      <w:sz w:val="21"/>
                      <w:szCs w:val="21"/>
                    </w:rPr>
                  </w:pPr>
                  <w:r>
                    <w:rPr>
                      <w:rFonts w:ascii="Times New Roman" w:hAnsi="Times New Roman" w:cs="Times New Roman"/>
                      <w:color w:val="000000"/>
                      <w:sz w:val="21"/>
                      <w:szCs w:val="21"/>
                    </w:rPr>
                    <w:t>34</w:t>
                  </w:r>
                </w:p>
              </w:tc>
              <w:tc>
                <w:tcPr>
                  <w:tcW w:w="1176" w:type="pct"/>
                  <w:tcBorders>
                    <w:top w:val="nil"/>
                    <w:left w:val="nil"/>
                    <w:bottom w:val="single" w:color="auto" w:sz="4" w:space="0"/>
                    <w:right w:val="single" w:color="auto" w:sz="4" w:space="0"/>
                  </w:tcBorders>
                  <w:shd w:val="clear" w:color="auto" w:fill="auto"/>
                  <w:vAlign w:val="center"/>
                </w:tcPr>
                <w:p w14:paraId="09E75B71">
                  <w:pPr>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1176" w:type="pct"/>
                  <w:tcBorders>
                    <w:top w:val="nil"/>
                    <w:left w:val="nil"/>
                    <w:bottom w:val="single" w:color="auto" w:sz="4" w:space="0"/>
                    <w:right w:val="single" w:color="auto" w:sz="4" w:space="0"/>
                  </w:tcBorders>
                  <w:shd w:val="clear" w:color="auto" w:fill="auto"/>
                  <w:vAlign w:val="center"/>
                </w:tcPr>
                <w:p w14:paraId="7CC99FDF">
                  <w:pPr>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126</w:t>
                  </w:r>
                </w:p>
              </w:tc>
              <w:tc>
                <w:tcPr>
                  <w:tcW w:w="883" w:type="pct"/>
                  <w:tcBorders>
                    <w:top w:val="nil"/>
                    <w:left w:val="nil"/>
                    <w:bottom w:val="single" w:color="auto" w:sz="4" w:space="0"/>
                    <w:right w:val="single" w:color="auto" w:sz="4" w:space="0"/>
                  </w:tcBorders>
                  <w:shd w:val="clear" w:color="auto" w:fill="auto"/>
                  <w:vAlign w:val="center"/>
                </w:tcPr>
                <w:p w14:paraId="07FB38E4">
                  <w:pPr>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160</w:t>
                  </w:r>
                </w:p>
              </w:tc>
            </w:tr>
            <w:tr w14:paraId="150ECC2D">
              <w:tblPrEx>
                <w:tblCellMar>
                  <w:top w:w="0" w:type="dxa"/>
                  <w:left w:w="108" w:type="dxa"/>
                  <w:bottom w:w="0" w:type="dxa"/>
                  <w:right w:w="108" w:type="dxa"/>
                </w:tblCellMar>
              </w:tblPrEx>
              <w:trPr>
                <w:trHeight w:val="20" w:hRule="atLeast"/>
              </w:trPr>
              <w:tc>
                <w:tcPr>
                  <w:tcW w:w="588" w:type="pct"/>
                  <w:tcBorders>
                    <w:top w:val="nil"/>
                    <w:left w:val="single" w:color="auto" w:sz="4" w:space="0"/>
                    <w:bottom w:val="single" w:color="auto" w:sz="4" w:space="0"/>
                    <w:right w:val="single" w:color="auto" w:sz="4" w:space="0"/>
                  </w:tcBorders>
                  <w:shd w:val="clear" w:color="auto" w:fill="auto"/>
                  <w:vAlign w:val="center"/>
                </w:tcPr>
                <w:p w14:paraId="68F91988">
                  <w:pPr>
                    <w:jc w:val="center"/>
                    <w:rPr>
                      <w:color w:val="000000"/>
                      <w:sz w:val="21"/>
                      <w:szCs w:val="21"/>
                    </w:rPr>
                  </w:pPr>
                  <w:r>
                    <w:rPr>
                      <w:rFonts w:hint="eastAsia"/>
                      <w:color w:val="000000"/>
                      <w:sz w:val="21"/>
                      <w:szCs w:val="21"/>
                    </w:rPr>
                    <w:t>红壤</w:t>
                  </w:r>
                </w:p>
              </w:tc>
              <w:tc>
                <w:tcPr>
                  <w:tcW w:w="1176" w:type="pct"/>
                  <w:tcBorders>
                    <w:top w:val="nil"/>
                    <w:left w:val="nil"/>
                    <w:bottom w:val="single" w:color="auto" w:sz="4" w:space="0"/>
                    <w:right w:val="single" w:color="auto" w:sz="4" w:space="0"/>
                  </w:tcBorders>
                  <w:shd w:val="clear" w:color="auto" w:fill="auto"/>
                  <w:vAlign w:val="center"/>
                </w:tcPr>
                <w:p w14:paraId="24DCCBB4">
                  <w:pPr>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1176" w:type="pct"/>
                  <w:tcBorders>
                    <w:top w:val="nil"/>
                    <w:left w:val="nil"/>
                    <w:bottom w:val="single" w:color="auto" w:sz="4" w:space="0"/>
                    <w:right w:val="single" w:color="auto" w:sz="4" w:space="0"/>
                  </w:tcBorders>
                  <w:shd w:val="clear" w:color="auto" w:fill="auto"/>
                  <w:vAlign w:val="center"/>
                </w:tcPr>
                <w:p w14:paraId="41334801">
                  <w:pPr>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50</w:t>
                  </w:r>
                </w:p>
              </w:tc>
              <w:tc>
                <w:tcPr>
                  <w:tcW w:w="1176" w:type="pct"/>
                  <w:tcBorders>
                    <w:top w:val="nil"/>
                    <w:left w:val="nil"/>
                    <w:bottom w:val="single" w:color="auto" w:sz="4" w:space="0"/>
                    <w:right w:val="single" w:color="auto" w:sz="4" w:space="0"/>
                  </w:tcBorders>
                  <w:shd w:val="clear" w:color="auto" w:fill="auto"/>
                  <w:vAlign w:val="center"/>
                </w:tcPr>
                <w:p w14:paraId="75478A04">
                  <w:pPr>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w:t>
                  </w:r>
                </w:p>
              </w:tc>
              <w:tc>
                <w:tcPr>
                  <w:tcW w:w="883" w:type="pct"/>
                  <w:tcBorders>
                    <w:top w:val="nil"/>
                    <w:left w:val="nil"/>
                    <w:bottom w:val="single" w:color="auto" w:sz="4" w:space="0"/>
                    <w:right w:val="single" w:color="auto" w:sz="4" w:space="0"/>
                  </w:tcBorders>
                  <w:shd w:val="clear" w:color="auto" w:fill="auto"/>
                  <w:vAlign w:val="center"/>
                </w:tcPr>
                <w:p w14:paraId="50722955">
                  <w:pPr>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50</w:t>
                  </w:r>
                </w:p>
              </w:tc>
            </w:tr>
            <w:tr w14:paraId="7B5BC49C">
              <w:tblPrEx>
                <w:tblCellMar>
                  <w:top w:w="0" w:type="dxa"/>
                  <w:left w:w="108" w:type="dxa"/>
                  <w:bottom w:w="0" w:type="dxa"/>
                  <w:right w:w="108" w:type="dxa"/>
                </w:tblCellMar>
              </w:tblPrEx>
              <w:trPr>
                <w:trHeight w:val="20" w:hRule="atLeast"/>
              </w:trPr>
              <w:tc>
                <w:tcPr>
                  <w:tcW w:w="588" w:type="pct"/>
                  <w:tcBorders>
                    <w:top w:val="nil"/>
                    <w:left w:val="single" w:color="auto" w:sz="4" w:space="0"/>
                    <w:bottom w:val="single" w:color="auto" w:sz="4" w:space="0"/>
                    <w:right w:val="single" w:color="auto" w:sz="4" w:space="0"/>
                  </w:tcBorders>
                  <w:shd w:val="clear" w:color="auto" w:fill="auto"/>
                  <w:vAlign w:val="center"/>
                </w:tcPr>
                <w:p w14:paraId="4476E30C">
                  <w:pPr>
                    <w:jc w:val="center"/>
                    <w:rPr>
                      <w:color w:val="000000"/>
                      <w:sz w:val="21"/>
                      <w:szCs w:val="21"/>
                    </w:rPr>
                  </w:pPr>
                  <w:r>
                    <w:rPr>
                      <w:rFonts w:hint="eastAsia"/>
                      <w:color w:val="000000"/>
                      <w:sz w:val="21"/>
                      <w:szCs w:val="21"/>
                    </w:rPr>
                    <w:t>合计</w:t>
                  </w:r>
                </w:p>
              </w:tc>
              <w:tc>
                <w:tcPr>
                  <w:tcW w:w="1176" w:type="pct"/>
                  <w:tcBorders>
                    <w:top w:val="nil"/>
                    <w:left w:val="nil"/>
                    <w:bottom w:val="single" w:color="auto" w:sz="4" w:space="0"/>
                    <w:right w:val="single" w:color="auto" w:sz="4" w:space="0"/>
                  </w:tcBorders>
                  <w:shd w:val="clear" w:color="auto" w:fill="auto"/>
                  <w:vAlign w:val="center"/>
                </w:tcPr>
                <w:p w14:paraId="4B535B1E">
                  <w:pPr>
                    <w:jc w:val="center"/>
                    <w:rPr>
                      <w:rFonts w:ascii="Times New Roman" w:hAnsi="Times New Roman" w:cs="Times New Roman"/>
                      <w:color w:val="000000"/>
                      <w:sz w:val="21"/>
                      <w:szCs w:val="21"/>
                    </w:rPr>
                  </w:pPr>
                  <w:r>
                    <w:rPr>
                      <w:rFonts w:ascii="Times New Roman" w:hAnsi="Times New Roman" w:cs="Times New Roman"/>
                      <w:color w:val="000000"/>
                      <w:sz w:val="21"/>
                      <w:szCs w:val="21"/>
                    </w:rPr>
                    <w:t>104</w:t>
                  </w:r>
                </w:p>
              </w:tc>
              <w:tc>
                <w:tcPr>
                  <w:tcW w:w="1176" w:type="pct"/>
                  <w:tcBorders>
                    <w:top w:val="nil"/>
                    <w:left w:val="nil"/>
                    <w:bottom w:val="single" w:color="auto" w:sz="4" w:space="0"/>
                    <w:right w:val="single" w:color="auto" w:sz="4" w:space="0"/>
                  </w:tcBorders>
                  <w:shd w:val="clear" w:color="auto" w:fill="auto"/>
                  <w:vAlign w:val="center"/>
                </w:tcPr>
                <w:p w14:paraId="12D4B9A2">
                  <w:pPr>
                    <w:jc w:val="center"/>
                    <w:rPr>
                      <w:rFonts w:ascii="Times New Roman" w:hAnsi="Times New Roman" w:cs="Times New Roman"/>
                      <w:color w:val="000000"/>
                      <w:sz w:val="21"/>
                      <w:szCs w:val="21"/>
                    </w:rPr>
                  </w:pPr>
                  <w:r>
                    <w:rPr>
                      <w:rFonts w:ascii="Times New Roman" w:hAnsi="Times New Roman" w:cs="Times New Roman"/>
                      <w:color w:val="000000"/>
                      <w:sz w:val="21"/>
                      <w:szCs w:val="21"/>
                    </w:rPr>
                    <w:t>125</w:t>
                  </w:r>
                </w:p>
              </w:tc>
              <w:tc>
                <w:tcPr>
                  <w:tcW w:w="1176" w:type="pct"/>
                  <w:tcBorders>
                    <w:top w:val="nil"/>
                    <w:left w:val="nil"/>
                    <w:bottom w:val="single" w:color="auto" w:sz="4" w:space="0"/>
                    <w:right w:val="single" w:color="auto" w:sz="4" w:space="0"/>
                  </w:tcBorders>
                  <w:shd w:val="clear" w:color="auto" w:fill="auto"/>
                  <w:vAlign w:val="center"/>
                </w:tcPr>
                <w:p w14:paraId="2288F45E">
                  <w:pPr>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273</w:t>
                  </w:r>
                </w:p>
              </w:tc>
              <w:tc>
                <w:tcPr>
                  <w:tcW w:w="883" w:type="pct"/>
                  <w:tcBorders>
                    <w:top w:val="nil"/>
                    <w:left w:val="nil"/>
                    <w:bottom w:val="single" w:color="auto" w:sz="4" w:space="0"/>
                    <w:right w:val="single" w:color="auto" w:sz="4" w:space="0"/>
                  </w:tcBorders>
                  <w:shd w:val="clear" w:color="auto" w:fill="auto"/>
                  <w:vAlign w:val="center"/>
                </w:tcPr>
                <w:p w14:paraId="4C59E517">
                  <w:pPr>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502</w:t>
                  </w:r>
                </w:p>
              </w:tc>
            </w:tr>
          </w:tbl>
          <w:p w14:paraId="5E4DB692">
            <w:pPr>
              <w:spacing w:line="340" w:lineRule="exact"/>
              <w:ind w:firstLine="480" w:firstLineChars="200"/>
              <w:rPr>
                <w:rFonts w:hint="eastAsia"/>
                <w:sz w:val="24"/>
              </w:rPr>
            </w:pPr>
            <w:r>
              <w:rPr>
                <w:rFonts w:hint="eastAsia"/>
                <w:sz w:val="24"/>
              </w:rPr>
              <w:t xml:space="preserve">4.确定土壤环境背景值含量土层 </w:t>
            </w:r>
          </w:p>
          <w:p w14:paraId="60BD0AF2">
            <w:pPr>
              <w:spacing w:line="340" w:lineRule="exact"/>
              <w:ind w:firstLine="480" w:firstLineChars="200"/>
              <w:rPr>
                <w:rFonts w:hint="eastAsia"/>
                <w:sz w:val="24"/>
              </w:rPr>
            </w:pPr>
            <w:r>
              <w:rPr>
                <w:rFonts w:hint="eastAsia"/>
                <w:sz w:val="24"/>
              </w:rPr>
              <w:t>土壤深层样品采样深度一般为1.5-2.0m，本次调查每个点位按照发生层采集了淋溶层（A层，0-20cm）（以下简称“表层”）与母质层（C层，60-150cm）（以下简称“深层”）样。深层土壤样品代表土壤第一环境，元素含量是未经过人类明显作用的、更接近自然丰度的第四纪原生地球化学含量；表层土壤样品代表土壤第二环境，元素含量是经过人类明显作用的、更接近现代工业化影响的次生含量，从环境意义的角度来看，深层土壤与外界环境和人类活动接触少，现实意义不大，而表层土壤在代表土壤环境背景值的自然属性与人为属性方面，显示出重大的现实意义。因此，本次标准编制，采用表层土壤背景含量统计值确定土壤环境背景值。</w:t>
            </w:r>
          </w:p>
          <w:p w14:paraId="4C358C05">
            <w:pPr>
              <w:spacing w:line="340" w:lineRule="exact"/>
              <w:ind w:firstLine="480" w:firstLineChars="200"/>
              <w:rPr>
                <w:rFonts w:hint="eastAsia"/>
                <w:sz w:val="24"/>
              </w:rPr>
            </w:pPr>
            <w:r>
              <w:rPr>
                <w:rFonts w:hint="eastAsia"/>
                <w:sz w:val="24"/>
              </w:rPr>
              <w:t xml:space="preserve">5.剔除异常值 </w:t>
            </w:r>
          </w:p>
          <w:p w14:paraId="7E6CBD66">
            <w:pPr>
              <w:spacing w:line="340" w:lineRule="exact"/>
              <w:ind w:firstLine="480" w:firstLineChars="200"/>
              <w:rPr>
                <w:rFonts w:hint="eastAsia"/>
                <w:sz w:val="24"/>
              </w:rPr>
            </w:pPr>
            <w:r>
              <w:rPr>
                <w:rFonts w:hint="eastAsia"/>
                <w:sz w:val="24"/>
              </w:rPr>
              <w:t>对完成正态分布检验的数据，选择格拉布斯（Grubbs）检验法、狄克逊（Dixon）检验法、T（Thompson）检验法、箱线图法等样本异常值检验方法进行异常值判别。</w:t>
            </w:r>
          </w:p>
          <w:p w14:paraId="7AD567D1">
            <w:pPr>
              <w:spacing w:line="340" w:lineRule="exact"/>
              <w:ind w:firstLine="480" w:firstLineChars="200"/>
              <w:rPr>
                <w:rFonts w:hint="eastAsia"/>
                <w:sz w:val="24"/>
              </w:rPr>
            </w:pPr>
            <w:r>
              <w:rPr>
                <w:rFonts w:hint="eastAsia"/>
                <w:sz w:val="24"/>
              </w:rPr>
              <w:t>对于所判断的异常值，首先考虑样品采集、数据分析、数据录入等错误，然后通过调查区域实际情况综合考虑区域高背景、元素富集和外部干扰等因素，对异常值数字逐个判断，逐个处理。</w:t>
            </w:r>
          </w:p>
          <w:p w14:paraId="0E816BD5">
            <w:pPr>
              <w:spacing w:line="340" w:lineRule="exact"/>
              <w:ind w:firstLine="480" w:firstLineChars="200"/>
              <w:rPr>
                <w:rFonts w:hint="eastAsia"/>
                <w:sz w:val="24"/>
              </w:rPr>
            </w:pPr>
            <w:r>
              <w:rPr>
                <w:rFonts w:hint="eastAsia"/>
                <w:sz w:val="24"/>
              </w:rPr>
              <w:t xml:space="preserve">6. 数据分布检验 </w:t>
            </w:r>
          </w:p>
          <w:p w14:paraId="4A8B788C">
            <w:pPr>
              <w:spacing w:line="340" w:lineRule="exact"/>
              <w:ind w:firstLine="480" w:firstLineChars="200"/>
              <w:rPr>
                <w:rFonts w:hint="eastAsia"/>
                <w:sz w:val="24"/>
              </w:rPr>
            </w:pPr>
            <w:r>
              <w:rPr>
                <w:rFonts w:hint="eastAsia"/>
                <w:sz w:val="24"/>
              </w:rPr>
              <w:t>有关区域土壤环境背景值的表达，国内、外一般都采用元素浓度的统计值表示。由于不同元素浓度的概率分布类型不同，因而元素浓度统计值的变化规律各异，土壤中元素浓度概率分布类型有：正态分布，对数正态分布和偏态分布。</w:t>
            </w:r>
          </w:p>
          <w:p w14:paraId="1C3F3FBF">
            <w:pPr>
              <w:spacing w:line="340" w:lineRule="exact"/>
              <w:ind w:firstLine="480" w:firstLineChars="200"/>
              <w:rPr>
                <w:rFonts w:hint="eastAsia"/>
                <w:sz w:val="24"/>
              </w:rPr>
            </w:pPr>
            <w:r>
              <w:rPr>
                <w:rFonts w:hint="eastAsia"/>
                <w:sz w:val="24"/>
              </w:rPr>
              <w:t xml:space="preserve">7.土壤环境背景值的表达方法 </w:t>
            </w:r>
          </w:p>
          <w:p w14:paraId="2D8513AA">
            <w:pPr>
              <w:spacing w:line="340" w:lineRule="exact"/>
              <w:ind w:firstLine="480" w:firstLineChars="200"/>
              <w:rPr>
                <w:rFonts w:hint="eastAsia"/>
                <w:sz w:val="24"/>
              </w:rPr>
            </w:pPr>
            <w:r>
              <w:rPr>
                <w:rFonts w:hint="eastAsia"/>
                <w:sz w:val="24"/>
              </w:rPr>
              <w:t>对表层土壤元素测定的原始数据进行顺序量统计，从顺序统计量结果可方便直观地看出样本测定的最小值、最大值，看出数据分布的集中趋势（中位数）和分散程度。</w:t>
            </w:r>
          </w:p>
          <w:p w14:paraId="670967C6">
            <w:pPr>
              <w:spacing w:line="340" w:lineRule="exact"/>
              <w:ind w:firstLine="480" w:firstLineChars="200"/>
              <w:rPr>
                <w:rFonts w:hint="eastAsia"/>
                <w:sz w:val="24"/>
              </w:rPr>
            </w:pPr>
            <w:r>
              <w:rPr>
                <w:rFonts w:hint="eastAsia"/>
                <w:sz w:val="24"/>
              </w:rPr>
              <w:t>根据元素含量分布类型选择性剔除异常值，计算数据的算术平均值、算术标准差和几何平均值、几何标准差。本标准列出了不同统计单元土壤环境背景含量的基本统计量，包括顺序统计量、算术平均值、算术标准差和几何平均值、几何标准差。</w:t>
            </w:r>
          </w:p>
          <w:p w14:paraId="748F5A83">
            <w:pPr>
              <w:spacing w:line="340" w:lineRule="exact"/>
              <w:ind w:firstLine="480" w:firstLineChars="200"/>
              <w:rPr>
                <w:rFonts w:hint="eastAsia"/>
                <w:sz w:val="24"/>
              </w:rPr>
            </w:pPr>
            <w:r>
              <w:rPr>
                <w:rFonts w:hint="eastAsia"/>
                <w:sz w:val="24"/>
              </w:rPr>
              <w:t>8.土壤环境背景含量的使用方法</w:t>
            </w:r>
          </w:p>
          <w:p w14:paraId="1D8C3909">
            <w:pPr>
              <w:spacing w:line="340" w:lineRule="exact"/>
              <w:ind w:firstLine="480" w:firstLineChars="200"/>
              <w:rPr>
                <w:rFonts w:hint="eastAsia"/>
                <w:sz w:val="24"/>
              </w:rPr>
            </w:pPr>
            <w:r>
              <w:rPr>
                <w:rFonts w:hint="eastAsia"/>
                <w:sz w:val="24"/>
              </w:rPr>
              <w:t xml:space="preserve">（1）根据附录确定评价区域所在的行政区及地貌类型，从表1~表9中选定对应的土壤环境背景值。 </w:t>
            </w:r>
          </w:p>
          <w:p w14:paraId="210345AB">
            <w:pPr>
              <w:spacing w:line="340" w:lineRule="exact"/>
              <w:ind w:firstLine="480" w:firstLineChars="200"/>
              <w:rPr>
                <w:rFonts w:hint="eastAsia"/>
                <w:sz w:val="24"/>
              </w:rPr>
            </w:pPr>
            <w:r>
              <w:rPr>
                <w:rFonts w:hint="eastAsia"/>
                <w:sz w:val="24"/>
              </w:rPr>
              <w:t xml:space="preserve">（2）数据分布为正态分布时，以算术平均值（）+2倍算术标准差（S）作为土壤环境背景值；数据分布为对数正态分布时，以几何平均值（M）×几何标准差（D）的平方作为土壤环境背景值；数据分布为偏态分布时，以土壤环境背景含量顺序统计量的95%分位值作为土壤环境背景值，用于土壤环境背景状况评价。如国家出台确定土壤环境背景值的具体规定，则按照国家有关要求执行。 </w:t>
            </w:r>
          </w:p>
          <w:p w14:paraId="60735F61">
            <w:pPr>
              <w:spacing w:line="340" w:lineRule="exact"/>
              <w:ind w:firstLine="480" w:firstLineChars="200"/>
              <w:rPr>
                <w:rFonts w:hint="eastAsia"/>
                <w:sz w:val="24"/>
              </w:rPr>
            </w:pPr>
            <w:r>
              <w:rPr>
                <w:rFonts w:hint="eastAsia"/>
                <w:sz w:val="24"/>
              </w:rPr>
              <w:t>（3）土壤中元素含量等于或者低于背景值的，表明土壤环境质量保持自然背景值水平；超过背景值的，可能受到人为活动或外来污染的影响。</w:t>
            </w:r>
          </w:p>
          <w:p w14:paraId="2FAA76E9">
            <w:pPr>
              <w:spacing w:line="340" w:lineRule="exact"/>
              <w:ind w:firstLine="480" w:firstLineChars="200"/>
              <w:rPr>
                <w:rFonts w:hint="eastAsia"/>
                <w:sz w:val="24"/>
              </w:rPr>
            </w:pPr>
            <w:r>
              <w:rPr>
                <w:rFonts w:hint="eastAsia"/>
                <w:sz w:val="24"/>
              </w:rPr>
              <w:t>（4）本标准提出的土壤环境背景值是基于区域性土壤环境背景含量的统计量，地块尺度土壤环境背景含量统计应按照国家相关技术规范执行。</w:t>
            </w:r>
          </w:p>
          <w:bookmarkEnd w:id="0"/>
          <w:bookmarkEnd w:id="1"/>
          <w:p w14:paraId="48DB239F">
            <w:pPr>
              <w:spacing w:line="340" w:lineRule="exact"/>
              <w:ind w:firstLine="480" w:firstLineChars="200"/>
              <w:rPr>
                <w:rFonts w:hint="eastAsia"/>
                <w:sz w:val="24"/>
              </w:rPr>
            </w:pPr>
          </w:p>
        </w:tc>
      </w:tr>
      <w:tr w14:paraId="1A21A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739" w:type="dxa"/>
            <w:gridSpan w:val="4"/>
            <w:noWrap w:val="0"/>
            <w:vAlign w:val="top"/>
          </w:tcPr>
          <w:p w14:paraId="13C553C5">
            <w:pPr>
              <w:numPr>
                <w:ilvl w:val="0"/>
                <w:numId w:val="1"/>
              </w:numPr>
              <w:spacing w:line="340" w:lineRule="exact"/>
              <w:rPr>
                <w:rFonts w:ascii="Times New Roman" w:hAnsi="Times New Roman" w:eastAsia="黑体"/>
                <w:sz w:val="24"/>
              </w:rPr>
            </w:pPr>
            <w:r>
              <w:rPr>
                <w:rFonts w:hint="eastAsia" w:ascii="Times New Roman" w:hAnsi="Times New Roman" w:eastAsia="黑体"/>
                <w:sz w:val="24"/>
              </w:rPr>
              <w:t>国内外标准水平对比分析（</w:t>
            </w:r>
            <w:r>
              <w:rPr>
                <w:rFonts w:hint="eastAsia" w:ascii="宋体" w:hAnsi="宋体"/>
                <w:sz w:val="24"/>
              </w:rPr>
              <w:t>包括采用国际标准和国外先进标准情况、参考资料等。</w:t>
            </w:r>
            <w:r>
              <w:rPr>
                <w:rFonts w:hint="eastAsia" w:ascii="Times New Roman" w:hAnsi="Times New Roman" w:eastAsia="黑体"/>
                <w:sz w:val="24"/>
              </w:rPr>
              <w:t>）</w:t>
            </w:r>
          </w:p>
          <w:p w14:paraId="49845284">
            <w:pPr>
              <w:spacing w:line="340" w:lineRule="exact"/>
              <w:ind w:firstLine="482" w:firstLineChars="200"/>
              <w:rPr>
                <w:b/>
                <w:sz w:val="24"/>
              </w:rPr>
            </w:pPr>
            <w:bookmarkStart w:id="2" w:name="_Toc391572898"/>
            <w:bookmarkStart w:id="3" w:name="_Toc412898652"/>
            <w:r>
              <w:rPr>
                <w:rFonts w:hint="eastAsia"/>
                <w:b/>
                <w:sz w:val="24"/>
              </w:rPr>
              <w:t>（1）国外</w:t>
            </w:r>
            <w:r>
              <w:rPr>
                <w:rFonts w:hint="eastAsia"/>
                <w:b/>
                <w:sz w:val="24"/>
                <w:lang w:eastAsia="zh-CN"/>
              </w:rPr>
              <w:t>土壤环境背景值</w:t>
            </w:r>
            <w:r>
              <w:rPr>
                <w:rFonts w:hint="eastAsia"/>
                <w:b/>
                <w:sz w:val="24"/>
              </w:rPr>
              <w:t>相关工作基础</w:t>
            </w:r>
            <w:bookmarkEnd w:id="2"/>
            <w:bookmarkEnd w:id="3"/>
          </w:p>
          <w:p w14:paraId="7AC28024">
            <w:pPr>
              <w:spacing w:line="340" w:lineRule="exact"/>
              <w:ind w:firstLine="480" w:firstLineChars="200"/>
              <w:rPr>
                <w:rFonts w:hint="eastAsia"/>
                <w:sz w:val="24"/>
              </w:rPr>
            </w:pPr>
            <w:bookmarkStart w:id="4" w:name="_Toc412898657"/>
            <w:bookmarkStart w:id="5" w:name="_Toc391572899"/>
            <w:r>
              <w:rPr>
                <w:rFonts w:hint="eastAsia"/>
                <w:sz w:val="24"/>
              </w:rPr>
              <w:t>土壤元素环境背景值已做过许多研究工作，国际上，如美国、英国、日本、加拿大、澳大利亚等较重视这方面的研究。最早有报导的日本冈田启等在1978年按土壤铬含量特征，以平均值±标准差为铬含量范围，并结合岩石类型特征，绘制了日本懒户内海流域铬的环境背景值图，将岩石、土壤的元素含量分为6级。而美国的研究规模最大，最为系统完整，美国大陆本土以80km×80km布设一个采样点，报道了46个元素的背景值，之后阿拉斯加采集了355个样品，分析测试了35个元素。</w:t>
            </w:r>
          </w:p>
          <w:p w14:paraId="78582268">
            <w:pPr>
              <w:spacing w:line="340" w:lineRule="exact"/>
              <w:ind w:firstLine="482" w:firstLineChars="200"/>
              <w:rPr>
                <w:b/>
                <w:sz w:val="24"/>
              </w:rPr>
            </w:pPr>
            <w:r>
              <w:rPr>
                <w:rFonts w:hint="eastAsia"/>
                <w:b/>
                <w:sz w:val="24"/>
              </w:rPr>
              <w:t>（2）国内</w:t>
            </w:r>
            <w:r>
              <w:rPr>
                <w:rFonts w:hint="eastAsia"/>
                <w:b/>
                <w:sz w:val="24"/>
                <w:lang w:eastAsia="zh-CN"/>
              </w:rPr>
              <w:t>土壤环境背景值</w:t>
            </w:r>
            <w:r>
              <w:rPr>
                <w:rFonts w:hint="eastAsia"/>
                <w:b/>
                <w:sz w:val="24"/>
              </w:rPr>
              <w:t>工作基础</w:t>
            </w:r>
            <w:bookmarkEnd w:id="4"/>
            <w:bookmarkEnd w:id="5"/>
          </w:p>
          <w:p w14:paraId="4A47B440">
            <w:pPr>
              <w:spacing w:line="340" w:lineRule="exact"/>
              <w:ind w:firstLine="480" w:firstLineChars="200"/>
              <w:rPr>
                <w:rFonts w:hint="eastAsia"/>
                <w:sz w:val="24"/>
              </w:rPr>
            </w:pPr>
            <w:r>
              <w:rPr>
                <w:rFonts w:hint="eastAsia"/>
                <w:sz w:val="24"/>
              </w:rPr>
              <w:t>我国于20世纪70年代初开始土壤背景值研究。中国科学院南京土壤研究所环境保护研究室本底组于1979年在我国首次对南京东郊九种元素的土壤背景值进行了研究，以成土母质类型作为统计单元划分元素含量等级，编制了九种元素的土壤背景值图。之后重庆、北京等城市先后开展了局部区域土壤环境背景值研究。“六五”期间在湘江谷地和松辽平原开展了土壤背景值研究，提出了所述区域约30个元素的背景值。</w:t>
            </w:r>
          </w:p>
          <w:p w14:paraId="49E47F40">
            <w:pPr>
              <w:spacing w:line="340" w:lineRule="exact"/>
              <w:ind w:firstLine="480" w:firstLineChars="200"/>
              <w:rPr>
                <w:rFonts w:hint="eastAsia"/>
                <w:sz w:val="24"/>
              </w:rPr>
            </w:pPr>
            <w:r>
              <w:rPr>
                <w:rFonts w:hint="eastAsia"/>
                <w:sz w:val="24"/>
              </w:rPr>
              <w:t>20世纪80年代，全国范围内开展了系统的土壤背景值调查研究，获取了我国41个土类61种元素的土壤背景值，为我国土壤背景值研究奠定了坚实的基础，也为我国土壤环境质量标准的制定提供了科学依据。</w:t>
            </w:r>
          </w:p>
          <w:p w14:paraId="5F871183">
            <w:pPr>
              <w:spacing w:line="340" w:lineRule="exact"/>
              <w:ind w:firstLine="480" w:firstLineChars="200"/>
              <w:rPr>
                <w:rFonts w:hint="eastAsia"/>
                <w:sz w:val="24"/>
              </w:rPr>
            </w:pPr>
            <w:r>
              <w:rPr>
                <w:rFonts w:hint="eastAsia"/>
                <w:sz w:val="24"/>
              </w:rPr>
              <w:t>20世纪90年代以来，随着社会对环境问题的重视，一些与之有关的调查研究工作从未间断过，1990年由浙江省环境监测中心站组织完成了“宁波市土壤环境背景值调查研究”，共布点83个（实际采样82个），每个点取表、心、底三层土样，分析并统计了14种元素（Cu、Zn、Pb、Ni、Cd、Cr、Mn、Co、Hg、Fe、F、As、V、Se）的土壤环境背景值，1990～1995年地质工作者先后完成了“杭嘉湖平原区农业环境地球化学调查”、“沿海平原区农业环境地球化学调查”，分析了土壤中39种元素的含量，统计计算了不同土壤元素的背景值，并在此基础上开展了地球化学研究及环境评价工作。</w:t>
            </w:r>
          </w:p>
          <w:p w14:paraId="71FCFDCD">
            <w:pPr>
              <w:spacing w:line="340" w:lineRule="exact"/>
              <w:ind w:firstLine="480" w:firstLineChars="200"/>
              <w:rPr>
                <w:rFonts w:hint="eastAsia"/>
                <w:sz w:val="24"/>
              </w:rPr>
            </w:pPr>
            <w:r>
              <w:rPr>
                <w:rFonts w:hint="eastAsia"/>
                <w:sz w:val="24"/>
              </w:rPr>
              <w:t>2017年12月，深圳市人居环境委员会设立了《土壤环境质量详细调查方案编制及土壤环境背景调查》项目，具体工作由深圳市环境科学研究院和中国科学院南京土壤研究所联合承担，该项目完成了全市主要土类的土壤环境背景调查，掌握了全市不同统计单元内的土壤环境背景含量、空间分布特征及变化规律，为制定深圳市土壤环境背景值标准积累了可靠基础数据。</w:t>
            </w:r>
          </w:p>
          <w:p w14:paraId="25F08AEF">
            <w:pPr>
              <w:spacing w:line="340" w:lineRule="exact"/>
              <w:ind w:firstLine="480" w:firstLineChars="200"/>
              <w:rPr>
                <w:rFonts w:hint="eastAsia"/>
                <w:sz w:val="24"/>
              </w:rPr>
            </w:pPr>
            <w:r>
              <w:rPr>
                <w:rFonts w:hint="eastAsia"/>
                <w:sz w:val="24"/>
              </w:rPr>
              <w:t>2018年5月，深圳市人居环境委员会设立了《建设用地土壤健康风险评估筛选值和土壤环境背景值标准研究与制定》项目，具体工作由深圳市环境科学研究院和中国科学院南京土壤研究所联合承担。2019年5月，编制组根据专家意见修改完善后，形成《深圳市土壤环境背景值标准（征求意见稿）》。该标准结合深圳市土壤环境背景调查污染物种类和污染物检出率情况，确定土壤环境背景值标准17种污染物项目，包括镉、汞、砷、铅、铬、铜、镍、锌、锰、钴、硒、钒、锑、铊、钼15种重金属及多环芳烃类1种、石油烃类1种。按土类、亚类划分统计单元，分别进行数据布类型检验、剔除异常值，确定每个统计单元的污染物项目土壤环境背景值。依据表层土壤背景含量确定环境值，以土壤环境背景含量顺序统计量的95%分位值作为土壤环境背景值，用于土壤环境背景状况评价。</w:t>
            </w:r>
          </w:p>
          <w:p w14:paraId="5DFCF43D">
            <w:pPr>
              <w:spacing w:line="340" w:lineRule="exact"/>
              <w:ind w:firstLine="480" w:firstLineChars="200"/>
              <w:rPr>
                <w:rFonts w:hint="eastAsia"/>
                <w:sz w:val="24"/>
              </w:rPr>
            </w:pPr>
            <w:r>
              <w:rPr>
                <w:rFonts w:hint="eastAsia"/>
                <w:sz w:val="24"/>
              </w:rPr>
              <w:t>2019年，广东省韶关市组织实施了“韶关市土壤环境背景值调查”项目，获取了韶关市全域3969件表层土壤样品，对土壤样品中镉、汞、铅、锌、铜、铬、镍、砷8个重金属元素含量数据进行了统计分析。以“韶关市土壤环境背景值调查”项目的调查成果为依托，韶关市生态环境局于2020年6月提出韶关市《土壤环境背景值》地方标准立项申请，经组织专家评审，韶关市市场监管局于2020年8月份下达文件，正式批准《土壤环境背景值》地方标准立项。随后经起草小组形成初稿、广泛征求意见、专家评审、公示等一系列程序，该标准于2021年3月5日正式发布。该标准按土壤母质划分统计单元，以土壤环境背景含量顺序统计量的95%分位值作为土壤环境中砷、镉、铬、铜、汞、镍、铅、锌的土壤环境背景值。</w:t>
            </w:r>
          </w:p>
          <w:p w14:paraId="283441DB">
            <w:pPr>
              <w:spacing w:line="340" w:lineRule="exact"/>
              <w:ind w:firstLine="480" w:firstLineChars="200"/>
              <w:rPr>
                <w:rFonts w:ascii="Times New Roman" w:hAnsi="Times New Roman" w:eastAsia="黑体"/>
                <w:sz w:val="24"/>
              </w:rPr>
            </w:pPr>
            <w:r>
              <w:rPr>
                <w:rFonts w:hint="eastAsia"/>
                <w:sz w:val="24"/>
              </w:rPr>
              <w:t>2020年以来，安徽省、苏州市、珠海市、宁波市、厦门市、柳州市、雄安新区等地分别开展了土壤环境背景值调查工作，安徽省制定了土壤采样点位数不低于450个的总体工作量，珠海市制定了土壤采样点位数不少于210个的总体工作量，厦门市制定的土壤调查点位数约300个。</w:t>
            </w:r>
          </w:p>
        </w:tc>
      </w:tr>
      <w:tr w14:paraId="718EC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1" w:hRule="atLeast"/>
          <w:jc w:val="center"/>
        </w:trPr>
        <w:tc>
          <w:tcPr>
            <w:tcW w:w="9739" w:type="dxa"/>
            <w:gridSpan w:val="4"/>
            <w:noWrap w:val="0"/>
            <w:vAlign w:val="top"/>
          </w:tcPr>
          <w:p w14:paraId="02AFF31A">
            <w:pPr>
              <w:spacing w:before="312" w:beforeLines="100" w:after="156" w:afterLines="50"/>
              <w:rPr>
                <w:rFonts w:ascii="Times New Roman" w:hAnsi="Times New Roman" w:eastAsia="黑体"/>
                <w:sz w:val="24"/>
              </w:rPr>
            </w:pPr>
            <w:r>
              <w:rPr>
                <w:rFonts w:hint="eastAsia" w:ascii="Times New Roman" w:hAnsi="Times New Roman" w:eastAsia="黑体"/>
                <w:sz w:val="24"/>
              </w:rPr>
              <w:t>4. 主要试验、验证结果（</w:t>
            </w:r>
            <w:r>
              <w:rPr>
                <w:rFonts w:hint="eastAsia" w:ascii="宋体" w:hAnsi="宋体"/>
                <w:sz w:val="24"/>
              </w:rPr>
              <w:t>调查研究统计数据；主要试验；验证原始记录；分析或综述报告、例行试验报告；在我市应用时间、范围及效果等。</w:t>
            </w:r>
            <w:r>
              <w:rPr>
                <w:rFonts w:hint="eastAsia" w:ascii="Times New Roman" w:hAnsi="Times New Roman" w:eastAsia="黑体"/>
                <w:sz w:val="24"/>
              </w:rPr>
              <w:t>）</w:t>
            </w:r>
          </w:p>
          <w:p w14:paraId="7AD12962">
            <w:pPr>
              <w:spacing w:line="340" w:lineRule="exact"/>
              <w:ind w:firstLine="482" w:firstLineChars="200"/>
              <w:rPr>
                <w:rFonts w:hint="eastAsia" w:eastAsia="宋体"/>
                <w:b/>
                <w:sz w:val="24"/>
                <w:lang w:eastAsia="zh-CN"/>
              </w:rPr>
            </w:pPr>
            <w:r>
              <w:rPr>
                <w:rFonts w:hint="eastAsia"/>
                <w:b/>
                <w:sz w:val="24"/>
                <w:lang w:val="en-US" w:eastAsia="zh-CN"/>
              </w:rPr>
              <w:t>4.1</w:t>
            </w:r>
            <w:r>
              <w:rPr>
                <w:rFonts w:hint="eastAsia"/>
                <w:b/>
                <w:sz w:val="24"/>
                <w:lang w:eastAsia="zh-CN"/>
              </w:rPr>
              <w:t>调查研究总体情况</w:t>
            </w:r>
          </w:p>
          <w:p w14:paraId="08071926">
            <w:pPr>
              <w:spacing w:line="300" w:lineRule="auto"/>
              <w:ind w:firstLine="480" w:firstLineChars="200"/>
              <w:rPr>
                <w:rFonts w:hint="eastAsia" w:ascii="宋体" w:hAnsi="宋体"/>
                <w:sz w:val="24"/>
              </w:rPr>
            </w:pPr>
            <w:r>
              <w:rPr>
                <w:rFonts w:hint="eastAsia" w:ascii="宋体" w:hAnsi="宋体"/>
                <w:sz w:val="24"/>
                <w:lang w:eastAsia="zh-CN"/>
              </w:rPr>
              <w:t>本标准制定主要依托“武汉市土壤环境背景值调查研究项目”，项目历经</w:t>
            </w:r>
            <w:r>
              <w:rPr>
                <w:rFonts w:hint="eastAsia" w:ascii="宋体" w:hAnsi="宋体"/>
                <w:sz w:val="24"/>
                <w:lang w:val="en-US" w:eastAsia="zh-CN"/>
              </w:rPr>
              <w:t>2022年至2025年</w:t>
            </w:r>
            <w:r>
              <w:rPr>
                <w:rFonts w:hint="eastAsia" w:ascii="宋体" w:hAnsi="宋体"/>
                <w:sz w:val="24"/>
              </w:rPr>
              <w:t>。2022年度，开展了武汉市土壤环境背景值调查实施方案研究，明确了采样点位、检测指标及检测方法，实施了现场点位核实，并在现场埋设了点位标记桩</w:t>
            </w:r>
            <w:r>
              <w:rPr>
                <w:rFonts w:hint="eastAsia" w:ascii="宋体" w:hAnsi="宋体"/>
                <w:sz w:val="24"/>
                <w:lang w:eastAsia="zh-CN"/>
              </w:rPr>
              <w:t>，并选取汉口片区黄棕壤土壤类型开展了33个点位的采样检测工作，基本上打通了武汉市土壤背景值调查工作全流程</w:t>
            </w:r>
            <w:bookmarkStart w:id="6" w:name="_GoBack"/>
            <w:bookmarkEnd w:id="6"/>
            <w:r>
              <w:rPr>
                <w:rFonts w:hint="eastAsia" w:ascii="宋体" w:hAnsi="宋体"/>
                <w:sz w:val="24"/>
              </w:rPr>
              <w:t>。</w:t>
            </w:r>
          </w:p>
          <w:p w14:paraId="20ADC2FA">
            <w:pPr>
              <w:spacing w:line="300" w:lineRule="auto"/>
              <w:ind w:firstLine="480" w:firstLineChars="200"/>
              <w:rPr>
                <w:rFonts w:hint="eastAsia" w:ascii="宋体" w:hAnsi="宋体"/>
                <w:sz w:val="24"/>
              </w:rPr>
            </w:pPr>
            <w:r>
              <w:rPr>
                <w:rFonts w:hint="eastAsia" w:ascii="宋体" w:hAnsi="宋体"/>
                <w:sz w:val="24"/>
              </w:rPr>
              <w:t>在2023年度开展了钻孔采样或剖面采样两种采样方法对检测结果的影响分析，以确定土壤环境背景值调查项目采样方法。实验结果表明利用剖面取样与钻孔取样对于表、深层土壤样品的测试结果影响较小，处于误差可接受范围。</w:t>
            </w:r>
          </w:p>
          <w:p w14:paraId="300ADD8E">
            <w:pPr>
              <w:spacing w:line="300" w:lineRule="auto"/>
              <w:ind w:firstLine="480" w:firstLineChars="200"/>
              <w:rPr>
                <w:rFonts w:hint="eastAsia" w:ascii="宋体" w:hAnsi="宋体"/>
                <w:sz w:val="24"/>
                <w:lang w:val="en-US" w:eastAsia="zh-CN"/>
              </w:rPr>
            </w:pPr>
            <w:r>
              <w:rPr>
                <w:rFonts w:hint="eastAsia" w:ascii="宋体" w:hAnsi="宋体"/>
                <w:sz w:val="24"/>
                <w:lang w:val="en-US" w:eastAsia="zh-CN"/>
              </w:rPr>
              <w:t>2024-2025年完成武汉市全域469个点位的采样检测及数据统计表征等工作，完成项目总体技术报告的编制并通过专家评审。通过近两年的调查研究，完成武昌片区、汉阳片区和汉口片区共计9个统计单元、14种重金属、8项有机氯农药、5种理化性质指标的数据正态分布检验、异常值判别和数据统计表征工作，绘制了3大片区各指标的分层浓度分布图。</w:t>
            </w:r>
          </w:p>
          <w:p w14:paraId="2632A4B1">
            <w:pPr>
              <w:spacing w:line="340" w:lineRule="exact"/>
              <w:ind w:firstLine="482" w:firstLineChars="200"/>
              <w:rPr>
                <w:rFonts w:hint="eastAsia" w:eastAsia="宋体"/>
                <w:b/>
                <w:sz w:val="24"/>
                <w:lang w:eastAsia="zh-CN"/>
              </w:rPr>
            </w:pPr>
            <w:r>
              <w:rPr>
                <w:rFonts w:hint="eastAsia"/>
                <w:b/>
                <w:sz w:val="24"/>
                <w:lang w:val="en-US" w:eastAsia="zh-CN"/>
              </w:rPr>
              <w:t>4.2研究结果</w:t>
            </w:r>
          </w:p>
          <w:p w14:paraId="77DAAE2D">
            <w:pPr>
              <w:spacing w:line="300" w:lineRule="auto"/>
              <w:ind w:firstLine="480" w:firstLineChars="200"/>
              <w:rPr>
                <w:rFonts w:hint="default" w:ascii="宋体" w:hAnsi="宋体"/>
                <w:sz w:val="24"/>
                <w:lang w:val="en-US" w:eastAsia="zh-CN"/>
              </w:rPr>
            </w:pPr>
            <w:r>
              <w:rPr>
                <w:rFonts w:hint="default" w:ascii="宋体" w:hAnsi="宋体"/>
                <w:sz w:val="24"/>
                <w:lang w:val="en-US" w:eastAsia="zh-CN"/>
              </w:rPr>
              <w:t>调查采样</w:t>
            </w:r>
            <w:r>
              <w:rPr>
                <w:rFonts w:hint="eastAsia" w:ascii="宋体" w:hAnsi="宋体"/>
                <w:sz w:val="24"/>
                <w:lang w:val="en-US" w:eastAsia="zh-CN"/>
              </w:rPr>
              <w:t>：</w:t>
            </w:r>
            <w:r>
              <w:rPr>
                <w:rFonts w:hint="default" w:ascii="宋体" w:hAnsi="宋体"/>
                <w:sz w:val="24"/>
                <w:lang w:val="en-US" w:eastAsia="zh-CN"/>
              </w:rPr>
              <w:t>严格按照项目实施方案陆续开展野外土壤样品采集工作，完成武昌片区、汉阳片和汉口片区计划内</w:t>
            </w:r>
            <w:r>
              <w:rPr>
                <w:rFonts w:hint="eastAsia" w:ascii="宋体" w:hAnsi="宋体"/>
                <w:sz w:val="24"/>
                <w:lang w:val="en-US" w:eastAsia="zh-CN"/>
              </w:rPr>
              <w:t>502</w:t>
            </w:r>
            <w:r>
              <w:rPr>
                <w:rFonts w:hint="default" w:ascii="宋体" w:hAnsi="宋体"/>
                <w:sz w:val="24"/>
                <w:lang w:val="en-US" w:eastAsia="zh-CN"/>
              </w:rPr>
              <w:t>个调查样点的样品采集，其中武昌片区采集125个点位，汉阳片区采集104个样点，汉口片区2</w:t>
            </w:r>
            <w:r>
              <w:rPr>
                <w:rFonts w:hint="eastAsia" w:ascii="宋体" w:hAnsi="宋体"/>
                <w:sz w:val="24"/>
                <w:lang w:val="en-US" w:eastAsia="zh-CN"/>
              </w:rPr>
              <w:t>73</w:t>
            </w:r>
            <w:r>
              <w:rPr>
                <w:rFonts w:hint="default" w:ascii="宋体" w:hAnsi="宋体"/>
                <w:sz w:val="24"/>
                <w:lang w:val="en-US" w:eastAsia="zh-CN"/>
              </w:rPr>
              <w:t>个样点</w:t>
            </w:r>
            <w:r>
              <w:rPr>
                <w:rFonts w:hint="eastAsia" w:ascii="宋体" w:hAnsi="宋体"/>
                <w:sz w:val="24"/>
                <w:lang w:val="en-US" w:eastAsia="zh-CN"/>
              </w:rPr>
              <w:t>。</w:t>
            </w:r>
            <w:r>
              <w:rPr>
                <w:rFonts w:hint="default" w:ascii="宋体" w:hAnsi="宋体"/>
                <w:sz w:val="24"/>
                <w:lang w:val="en-US" w:eastAsia="zh-CN"/>
              </w:rPr>
              <w:t>每个点位按照发生层采集了表层样和深层样，采样过程中，实行“自检+互检+抽检”的内部质量控制和定期交流机制，进行采样环节的内部质量控制。同时，项目主持单位、样品检测单位及质控单位参与了采样过程外部质量控制。从内部和外部质量控制结果看，采样方法科学，样品暂存和流转符合规范要求，采样过程符合规范要求。</w:t>
            </w:r>
          </w:p>
          <w:p w14:paraId="4085DF08">
            <w:pPr>
              <w:spacing w:line="300" w:lineRule="auto"/>
              <w:ind w:firstLine="480" w:firstLineChars="200"/>
              <w:rPr>
                <w:rFonts w:hint="default" w:ascii="宋体" w:hAnsi="宋体"/>
                <w:sz w:val="24"/>
                <w:lang w:val="en-US" w:eastAsia="zh-CN"/>
              </w:rPr>
            </w:pPr>
            <w:r>
              <w:rPr>
                <w:rFonts w:hint="default" w:ascii="宋体" w:hAnsi="宋体"/>
                <w:sz w:val="24"/>
                <w:lang w:val="en-US" w:eastAsia="zh-CN"/>
              </w:rPr>
              <w:t>土壤检测</w:t>
            </w:r>
            <w:r>
              <w:rPr>
                <w:rFonts w:hint="eastAsia" w:ascii="宋体" w:hAnsi="宋体"/>
                <w:sz w:val="24"/>
                <w:lang w:val="en-US" w:eastAsia="zh-CN"/>
              </w:rPr>
              <w:t>：</w:t>
            </w:r>
            <w:r>
              <w:rPr>
                <w:rFonts w:hint="default" w:ascii="宋体" w:hAnsi="宋体"/>
                <w:sz w:val="24"/>
                <w:lang w:val="en-US" w:eastAsia="zh-CN"/>
              </w:rPr>
              <w:t>本次检测所有点位均检测pH，砷、镉、铜、铅、汞、镍、锑、铍、钴、钒、铬、硒、锌、锰、苯并[a]芘等16项指标；水稻土点位加测α-六六六、β-六六六、γ-六六六、δ-六六六、p,p'-滴滴伊、p,p'-滴滴滴、o,p'-滴滴涕、p,p'-滴滴涕等8项目有机氯农药指标；剖面样点加测土壤机械组成、容重、有机质含量、阳离子交换量、碳酸盐含量（以碳酸钙计）等5种土壤理化性质指标。检测过程中严格落实各项质量控制措施，实验室内部质量控制工作符合相关技术规范和分析标准的要求。</w:t>
            </w:r>
          </w:p>
          <w:p w14:paraId="5F7E7DE9">
            <w:pPr>
              <w:spacing w:line="300" w:lineRule="auto"/>
              <w:ind w:firstLine="480" w:firstLineChars="200"/>
              <w:rPr>
                <w:rFonts w:hint="default" w:ascii="宋体" w:hAnsi="宋体"/>
                <w:sz w:val="24"/>
                <w:lang w:val="en-US" w:eastAsia="zh-CN"/>
              </w:rPr>
            </w:pPr>
            <w:r>
              <w:rPr>
                <w:rFonts w:hint="default" w:ascii="宋体" w:hAnsi="宋体"/>
                <w:sz w:val="24"/>
                <w:lang w:val="en-US" w:eastAsia="zh-CN"/>
              </w:rPr>
              <w:t>质量控制</w:t>
            </w:r>
            <w:r>
              <w:rPr>
                <w:rFonts w:hint="eastAsia" w:ascii="宋体" w:hAnsi="宋体"/>
                <w:sz w:val="24"/>
                <w:lang w:val="en-US" w:eastAsia="zh-CN"/>
              </w:rPr>
              <w:t>：</w:t>
            </w:r>
            <w:r>
              <w:rPr>
                <w:rFonts w:hint="default" w:ascii="宋体" w:hAnsi="宋体"/>
                <w:sz w:val="24"/>
                <w:lang w:val="en-US" w:eastAsia="zh-CN"/>
              </w:rPr>
              <w:t>现场采样，所有采样人员均经过培训、考核后上岗，熟练掌握监测技术规范，且具有野外调查经验；每组采样队均配置齐备的采样工具，能预防样品交叉污染；样点调整，符合调整要求；每组采样队伍样品采集方法基本符合要求，剖面基本符合观察要求；样品标识清晰，内外标签齐全一致，未发生样品混淆事故；样品采集后能及时按要求流转至检测实验室；现场记录资料完整、正确，景观照片、剖面照片等齐全清晰。项目样品保存和流转规范，均能在有效期内送到实验室，样品流转规范，无错乱情况发生。样品检测，所有实验室检测人员均经过培训、考核后上岗，熟练掌握分析方法技术规范；仪器设备配置齐全，检定/校准全部在有效期；实验室场所环境分区合理，能预防交叉污染；实验室选用的分析方法满足项目要求，且均有有效的方法验证；盲样考核、加标回收考核结果均为满意；实验室内部质量控制实施有效，实验室内平行样合格率达到99.7%，实验室间平行样合格率达到97.8%，满足室内质控合格率90%、室间质控控合格率85%的要求。</w:t>
            </w:r>
          </w:p>
          <w:p w14:paraId="35AFA1F6">
            <w:pPr>
              <w:spacing w:line="300" w:lineRule="auto"/>
              <w:ind w:firstLine="480" w:firstLineChars="200"/>
              <w:rPr>
                <w:rFonts w:hint="default" w:ascii="宋体" w:hAnsi="宋体"/>
                <w:sz w:val="24"/>
                <w:lang w:val="en-US" w:eastAsia="zh-CN"/>
              </w:rPr>
            </w:pPr>
            <w:r>
              <w:rPr>
                <w:rFonts w:hint="default" w:ascii="宋体" w:hAnsi="宋体"/>
                <w:sz w:val="24"/>
                <w:lang w:val="en-US" w:eastAsia="zh-CN"/>
              </w:rPr>
              <w:t>数据分析及制图</w:t>
            </w:r>
            <w:r>
              <w:rPr>
                <w:rFonts w:hint="eastAsia" w:ascii="宋体" w:hAnsi="宋体"/>
                <w:sz w:val="24"/>
                <w:lang w:val="en-US" w:eastAsia="zh-CN"/>
              </w:rPr>
              <w:t>：</w:t>
            </w:r>
            <w:r>
              <w:rPr>
                <w:rFonts w:hint="default" w:ascii="宋体" w:hAnsi="宋体"/>
                <w:sz w:val="24"/>
                <w:lang w:val="en-US" w:eastAsia="zh-CN"/>
              </w:rPr>
              <w:t>基于武昌片区、汉阳片区和汉口片区共计9个统计单元，开展了14种重金属数据正态分布检验、异常值判别和数据统计表证，绘制了3大片区各指标的分层浓度分布图。数据分布类型检验方面，采用SPSS 软件进行了个统计单元的数据正态性分布检验，非正态分布的数据，进行适当的正态转换后再进行正态性检验。正态转换包括开方、取以10为底的对数、取倒数等方法。异常值判别方面，采用格拉布斯（Grubbs）检验法、狄克逊（Dixon）检验法、T（Thompson）检验法、箱线图法对各统计单元开展了异常值筛选。按照异常值判别原则，对筛选的异常值，进行了逐个判别和处理。异常值处理后，对各统计单元样点土壤重金属再次检验数据分布类型，开展了各统计单元的土壤环境背景含量统计。根据含量统计，形成武昌片区土壤pH值和重金属分布图、汉阳片区土壤pH值和重金属浓度分布图、汉口片区土壤pH值和重金属浓度分布图，以及总体pH值和重金属浓度分布图。</w:t>
            </w:r>
          </w:p>
        </w:tc>
      </w:tr>
    </w:tbl>
    <w:p w14:paraId="6B8524B3"/>
    <w:p w14:paraId="792A83D7"/>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030F43"/>
    <w:multiLevelType w:val="singleLevel"/>
    <w:tmpl w:val="DB030F4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457895"/>
    <w:rsid w:val="34755BA0"/>
    <w:rsid w:val="354C0D81"/>
    <w:rsid w:val="41A96A0B"/>
    <w:rsid w:val="57457895"/>
    <w:rsid w:val="7BDA2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背景值技术报告"/>
    <w:qFormat/>
    <w:uiPriority w:val="0"/>
    <w:pPr>
      <w:widowControl w:val="0"/>
      <w:spacing w:line="360" w:lineRule="auto"/>
      <w:ind w:firstLine="200" w:firstLineChars="200"/>
      <w:jc w:val="both"/>
    </w:pPr>
    <w:rPr>
      <w:rFonts w:ascii="Times New Roman" w:hAnsi="Times New Roman"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8185</Words>
  <Characters>8770</Characters>
  <Lines>0</Lines>
  <Paragraphs>0</Paragraphs>
  <TotalTime>77</TotalTime>
  <ScaleCrop>false</ScaleCrop>
  <LinksUpToDate>false</LinksUpToDate>
  <CharactersWithSpaces>8869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2025-11-14T01:22:00Z</dcterms:created>
  <dc:creator>蔡瑞雪</dc:creator>
  <cp:lastModifiedBy>蔡瑞雪</cp:lastModifiedBy>
  <dcterms:modified xsi:type="dcterms:W3CDTF">2025-11-25T02:28:17Z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0F37DE008E894DEEB1CD1C16424EC5CE_11</vt:lpwstr>
  </property>
  <property fmtid="{D5CDD505-2E9C-101B-9397-08002B2CF9AE}" pid="4" name="KSOTemplateDocerSaveRecord">
    <vt:lpwstr>eyJoZGlkIjoiMTc3YzJjYTg5NjBlN2E1NzIxMTI5ZDhiNmMzYWJhY2EiLCJ1c2VySWQiOiI4OTcwNzYzMTUifQ==</vt:lpwstr>
  </property>
</Properties>
</file>