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附件</w:t>
      </w:r>
    </w:p>
    <w:p>
      <w:pPr>
        <w:pStyle w:val="6"/>
        <w:keepNext/>
        <w:keepLines/>
        <w:widowControl w:val="0"/>
        <w:shd w:val="clear" w:color="auto" w:fill="auto"/>
        <w:tabs>
          <w:tab w:val="left" w:pos="5342"/>
        </w:tabs>
        <w:bidi w:val="0"/>
        <w:spacing w:before="0" w:after="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bookmark23"/>
      <w:bookmarkStart w:id="1" w:name="bookmark22"/>
      <w:bookmarkStart w:id="2" w:name="bookmark2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 w:bidi="en-US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w w:val="100"/>
          <w:position w:val="0"/>
          <w:sz w:val="32"/>
          <w:szCs w:val="32"/>
          <w:lang w:val="en-US" w:eastAsia="en-US" w:bidi="en-US"/>
        </w:rPr>
        <w:t>低VOCs替代示范项目申报表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4F5B63"/>
          <w:spacing w:val="0"/>
          <w:w w:val="100"/>
          <w:position w:val="0"/>
          <w:sz w:val="32"/>
          <w:szCs w:val="32"/>
          <w:lang w:val="en-US" w:eastAsia="en-US" w:bidi="en-US"/>
        </w:rPr>
        <w:tab/>
      </w:r>
      <w:bookmarkEnd w:id="0"/>
    </w:p>
    <w:bookmarkEnd w:id="1"/>
    <w:bookmarkEnd w:id="2"/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44"/>
        <w:gridCol w:w="1686"/>
        <w:gridCol w:w="2292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bookmarkStart w:id="3" w:name="bookmark24"/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单位名称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组织机构代码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申报单位名称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与申报项目关系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低VOCs替代项目实施单位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低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VOCs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替代项目第三方服务单位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项目进展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口已完成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；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口正在开展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；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口尚未开展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申报联系人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22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联系方式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所属行业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22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行业代码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工艺技术水平自评价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□ 国际先进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□ 国内领先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；□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 xml:space="preserve"> 国内先进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；□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 xml:space="preserve"> 省内先进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5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主要内容、工艺技术路线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减排效益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0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项目关键技术特点和优势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1" w:hRule="exact"/>
        </w:trPr>
        <w:tc>
          <w:tcPr>
            <w:tcW w:w="2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无组织排放控制，相关环保设施、设备运行，实施精细化管控，建立原辅材料存贮、使用、回收利用工作台账等情况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1" w:hRule="exact"/>
        </w:trPr>
        <w:tc>
          <w:tcPr>
            <w:tcW w:w="9094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280" w:after="210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申报单位意见：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right="0" w:firstLine="5642" w:firstLineChars="2687"/>
              <w:jc w:val="lef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单位（公章）：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6510" w:firstLineChars="3100"/>
              <w:jc w:val="lef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日期：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bookmarkEnd w:id="3"/>
    </w:tbl>
    <w:p>
      <w:pPr>
        <w:spacing w:before="260" w:after="340" w:line="1" w:lineRule="exact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</w:pPr>
      <w:r>
        <w:rPr>
          <w:sz w:val="22"/>
          <w:szCs w:val="28"/>
        </w:rPr>
        <w:br w:type="page"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260" w:after="340" w:line="240" w:lineRule="auto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  <w:t>低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lang w:val="en-US" w:eastAsia="en-US" w:bidi="en-US"/>
        </w:rPr>
        <w:t>VOCs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  <w:t>替代示范项目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lang w:val="en-US" w:eastAsia="zh-CN"/>
        </w:rPr>
        <w:t>情况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21"/>
        </w:tabs>
        <w:bidi w:val="0"/>
        <w:spacing w:before="0" w:after="340" w:line="240" w:lineRule="auto"/>
        <w:ind w:left="0" w:right="0" w:firstLine="4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一、涉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VOCs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工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艺/物料/产品（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替代前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原辅材料/产品名称、型号、制造厂商、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VOCs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含量、年用量等）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21"/>
        </w:tabs>
        <w:bidi w:val="0"/>
        <w:spacing w:before="0" w:after="340" w:line="240" w:lineRule="auto"/>
        <w:ind w:left="0" w:right="0" w:firstLine="4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二、低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VOCs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替代项目简介（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替代后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原辅材料/产品名称、型号、制造厂商、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VOCs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含量、年用量等；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VOCs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含量及废气排放等标准执行情况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减排效果评估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）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28"/>
        </w:tabs>
        <w:bidi w:val="0"/>
        <w:spacing w:before="0" w:after="340" w:line="240" w:lineRule="auto"/>
        <w:ind w:left="0" w:right="0" w:firstLine="46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三、项目实施周期和完成情况（完成时间、实施方案、投资金额等）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四、现场照片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五、低VOCs替代项目建造实施证明材料（采购合同、服务外包合同等）、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低VOCs物料证明材料（MSDS、质检报告、VOCs含量检测报告等）、低VOCs替代前后废气排放检测报告</w:t>
      </w:r>
    </w:p>
    <w:p>
      <w:bookmarkStart w:id="4" w:name="_GoBack"/>
      <w:bookmarkEnd w:id="4"/>
    </w:p>
    <w:sectPr>
      <w:footerReference r:id="rId3" w:type="default"/>
      <w:pgSz w:w="11906" w:h="16838"/>
      <w:pgMar w:top="1701" w:right="1474" w:bottom="1531" w:left="1587" w:header="851" w:footer="116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94A36"/>
    <w:rsid w:val="6ED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500" w:line="706" w:lineRule="exact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2021-06-18T01:06:00Z</dcterms:created>
  <dc:creator>huang</dc:creator>
  <cp:lastModifiedBy>huang</cp:lastModifiedBy>
  <dcterms:modified xsi:type="dcterms:W3CDTF">2021-06-18T01:07:03Z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29A3BC446A394654810A5C00C10A9948</vt:lpwstr>
  </property>
</Properties>
</file>